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799" w:rsidRDefault="00063A40" w:rsidP="00D609E2">
      <w:pPr>
        <w:tabs>
          <w:tab w:val="center" w:pos="4448"/>
          <w:tab w:val="right" w:pos="8896"/>
        </w:tabs>
        <w:rPr>
          <w:rFonts w:ascii="Arial Black" w:hAnsi="Arial Black"/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49D3CC0" wp14:editId="6F30412D">
            <wp:simplePos x="0" y="0"/>
            <wp:positionH relativeFrom="column">
              <wp:posOffset>-656590</wp:posOffset>
            </wp:positionH>
            <wp:positionV relativeFrom="paragraph">
              <wp:posOffset>-117475</wp:posOffset>
            </wp:positionV>
            <wp:extent cx="1794510" cy="2011680"/>
            <wp:effectExtent l="0" t="0" r="0" b="0"/>
            <wp:wrapTight wrapText="bothSides">
              <wp:wrapPolygon edited="0">
                <wp:start x="2752" y="0"/>
                <wp:lineTo x="688" y="205"/>
                <wp:lineTo x="0" y="1227"/>
                <wp:lineTo x="0" y="4909"/>
                <wp:lineTo x="229" y="8182"/>
                <wp:lineTo x="2981" y="9818"/>
                <wp:lineTo x="5732" y="9818"/>
                <wp:lineTo x="4586" y="11864"/>
                <wp:lineTo x="4127" y="14523"/>
                <wp:lineTo x="3898" y="18000"/>
                <wp:lineTo x="5503" y="19636"/>
                <wp:lineTo x="6879" y="19636"/>
                <wp:lineTo x="7567" y="21477"/>
                <wp:lineTo x="11465" y="21477"/>
                <wp:lineTo x="13529" y="21477"/>
                <wp:lineTo x="16051" y="20455"/>
                <wp:lineTo x="16051" y="19636"/>
                <wp:lineTo x="18344" y="16364"/>
                <wp:lineTo x="19261" y="16364"/>
                <wp:lineTo x="20637" y="14318"/>
                <wp:lineTo x="20408" y="13091"/>
                <wp:lineTo x="21325" y="9614"/>
                <wp:lineTo x="21325" y="6955"/>
                <wp:lineTo x="14446" y="6136"/>
                <wp:lineTo x="10548" y="3682"/>
                <wp:lineTo x="8943" y="3273"/>
                <wp:lineTo x="4127" y="0"/>
                <wp:lineTo x="2752" y="0"/>
              </wp:wrapPolygon>
            </wp:wrapTight>
            <wp:docPr id="3" name="Image 3" descr="U:\cgt\elections cse\logo CSE CGT Orange pour CSEE sans noms departemen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cgt\elections cse\logo CSE CGT Orange pour CSEE sans noms departement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51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09E2">
        <w:rPr>
          <w:rFonts w:ascii="Arial Black" w:hAnsi="Arial Black"/>
          <w:b/>
        </w:rPr>
        <w:tab/>
      </w:r>
      <w:r w:rsidR="00D925B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1206500</wp:posOffset>
                </wp:positionH>
                <wp:positionV relativeFrom="paragraph">
                  <wp:posOffset>129540</wp:posOffset>
                </wp:positionV>
                <wp:extent cx="4057015" cy="445770"/>
                <wp:effectExtent l="13970" t="5080" r="5715" b="635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015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09E2" w:rsidRPr="00D609E2" w:rsidRDefault="00D609E2" w:rsidP="00D609E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609E2">
                              <w:rPr>
                                <w:b/>
                              </w:rPr>
                              <w:t>Fédération Nationale des Salariés du Secteur des Activité Postales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D609E2">
                              <w:rPr>
                                <w:b/>
                              </w:rPr>
                              <w:t>et de Télécommunications CGT</w:t>
                            </w:r>
                          </w:p>
                          <w:p w:rsidR="00D609E2" w:rsidRDefault="00D609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95pt;margin-top:10.2pt;width:319.45pt;height:3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" strokecolor="white [3212]">
                <v:textbox>
                  <w:txbxContent>
                    <w:p w:rsidR="00D609E2" w:rsidRPr="00D609E2" w:rsidRDefault="00D609E2" w:rsidP="00D609E2">
                      <w:pPr>
                        <w:jc w:val="center"/>
                        <w:rPr>
                          <w:b/>
                        </w:rPr>
                      </w:pPr>
                      <w:r w:rsidRPr="00D609E2">
                        <w:rPr>
                          <w:b/>
                        </w:rPr>
                        <w:t>Fédération Nationale des Salariés du Secteur des Activité Postales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D609E2">
                        <w:rPr>
                          <w:b/>
                        </w:rPr>
                        <w:t>et de Télécommunications CGT</w:t>
                      </w:r>
                    </w:p>
                    <w:p w:rsidR="00D609E2" w:rsidRDefault="00D609E2"/>
                  </w:txbxContent>
                </v:textbox>
              </v:shape>
            </w:pict>
          </mc:Fallback>
        </mc:AlternateContent>
      </w:r>
      <w:r w:rsidR="00D609E2">
        <w:rPr>
          <w:rFonts w:ascii="Arial Black" w:hAnsi="Arial Black"/>
          <w:b/>
        </w:rPr>
        <w:tab/>
      </w:r>
    </w:p>
    <w:p w:rsidR="00D609E2" w:rsidRDefault="00D609E2" w:rsidP="00D609E2">
      <w:pPr>
        <w:tabs>
          <w:tab w:val="center" w:pos="4448"/>
          <w:tab w:val="right" w:pos="8896"/>
        </w:tabs>
        <w:rPr>
          <w:rFonts w:ascii="Arial Black" w:hAnsi="Arial Black"/>
          <w:b/>
        </w:rPr>
      </w:pPr>
    </w:p>
    <w:p w:rsidR="00D609E2" w:rsidRDefault="00D609E2" w:rsidP="00D609E2">
      <w:pPr>
        <w:tabs>
          <w:tab w:val="center" w:pos="4448"/>
          <w:tab w:val="right" w:pos="8896"/>
        </w:tabs>
        <w:rPr>
          <w:rFonts w:ascii="Arial Black" w:hAnsi="Arial Black"/>
          <w:b/>
        </w:rPr>
      </w:pPr>
    </w:p>
    <w:p w:rsidR="00D609E2" w:rsidRDefault="00D609E2" w:rsidP="00D609E2">
      <w:pPr>
        <w:tabs>
          <w:tab w:val="center" w:pos="4448"/>
          <w:tab w:val="right" w:pos="8896"/>
        </w:tabs>
        <w:rPr>
          <w:rFonts w:ascii="Arial Black" w:hAnsi="Arial Black"/>
          <w:b/>
        </w:rPr>
      </w:pPr>
    </w:p>
    <w:p w:rsidR="00D609E2" w:rsidRDefault="00D609E2" w:rsidP="00D609E2">
      <w:pPr>
        <w:tabs>
          <w:tab w:val="center" w:pos="4448"/>
          <w:tab w:val="right" w:pos="8896"/>
        </w:tabs>
        <w:rPr>
          <w:rFonts w:ascii="Arial Black" w:hAnsi="Arial Black"/>
          <w:b/>
        </w:rPr>
      </w:pPr>
    </w:p>
    <w:p w:rsidR="00D609E2" w:rsidRDefault="00D609E2" w:rsidP="00D609E2">
      <w:pPr>
        <w:tabs>
          <w:tab w:val="center" w:pos="4448"/>
          <w:tab w:val="right" w:pos="8896"/>
        </w:tabs>
        <w:rPr>
          <w:rFonts w:ascii="Arial Black" w:hAnsi="Arial Black"/>
          <w:b/>
        </w:rPr>
      </w:pPr>
    </w:p>
    <w:p w:rsidR="00D609E2" w:rsidRDefault="00D609E2" w:rsidP="00D609E2">
      <w:pPr>
        <w:tabs>
          <w:tab w:val="center" w:pos="4448"/>
          <w:tab w:val="right" w:pos="8896"/>
        </w:tabs>
        <w:rPr>
          <w:rFonts w:ascii="Arial Black" w:hAnsi="Arial Black"/>
          <w:b/>
        </w:rPr>
      </w:pPr>
    </w:p>
    <w:p w:rsidR="00D609E2" w:rsidRPr="00BF5B06" w:rsidRDefault="00D609E2" w:rsidP="00D609E2">
      <w:pPr>
        <w:tabs>
          <w:tab w:val="center" w:pos="4448"/>
          <w:tab w:val="right" w:pos="8896"/>
        </w:tabs>
        <w:ind w:right="426"/>
        <w:jc w:val="right"/>
        <w:rPr>
          <w:sz w:val="22"/>
          <w:szCs w:val="22"/>
        </w:rPr>
      </w:pPr>
      <w:r w:rsidRPr="00BF5B06">
        <w:rPr>
          <w:sz w:val="22"/>
          <w:szCs w:val="22"/>
        </w:rPr>
        <w:t>Strasbourg, le 2 Octobre 2020</w:t>
      </w:r>
    </w:p>
    <w:p w:rsidR="00D609E2" w:rsidRDefault="00D609E2" w:rsidP="00D609E2">
      <w:pPr>
        <w:tabs>
          <w:tab w:val="center" w:pos="4448"/>
          <w:tab w:val="right" w:pos="8896"/>
        </w:tabs>
        <w:rPr>
          <w:rFonts w:ascii="Arial Black" w:hAnsi="Arial Black"/>
          <w:b/>
        </w:rPr>
      </w:pPr>
    </w:p>
    <w:p w:rsidR="00D609E2" w:rsidRDefault="00D609E2" w:rsidP="00D609E2">
      <w:pPr>
        <w:tabs>
          <w:tab w:val="center" w:pos="4448"/>
          <w:tab w:val="right" w:pos="8896"/>
        </w:tabs>
        <w:rPr>
          <w:rFonts w:ascii="Arial Black" w:hAnsi="Arial Black"/>
          <w:b/>
        </w:rPr>
      </w:pPr>
    </w:p>
    <w:p w:rsidR="00D609E2" w:rsidRDefault="00D609E2" w:rsidP="00D609E2">
      <w:pPr>
        <w:tabs>
          <w:tab w:val="center" w:pos="4448"/>
          <w:tab w:val="right" w:pos="8896"/>
        </w:tabs>
        <w:rPr>
          <w:rFonts w:ascii="Arial Black" w:hAnsi="Arial Black"/>
          <w:b/>
        </w:rPr>
      </w:pPr>
    </w:p>
    <w:p w:rsidR="00D609E2" w:rsidRPr="0069603B" w:rsidRDefault="00D609E2" w:rsidP="001D390A">
      <w:pPr>
        <w:tabs>
          <w:tab w:val="center" w:pos="4448"/>
          <w:tab w:val="right" w:pos="8896"/>
        </w:tabs>
        <w:ind w:left="-851"/>
        <w:jc w:val="center"/>
        <w:rPr>
          <w:b/>
          <w:color w:val="FF0000"/>
          <w:sz w:val="32"/>
          <w:szCs w:val="32"/>
        </w:rPr>
      </w:pPr>
      <w:r w:rsidRPr="0069603B">
        <w:rPr>
          <w:b/>
          <w:color w:val="FF0000"/>
          <w:sz w:val="32"/>
          <w:szCs w:val="32"/>
        </w:rPr>
        <w:t>Le télétravail chez Orange : entre incohérences de l’entreprise et incompréhension des salariés !</w:t>
      </w:r>
    </w:p>
    <w:p w:rsidR="00D609E2" w:rsidRPr="00D609E2" w:rsidRDefault="00D609E2" w:rsidP="00D609E2">
      <w:pPr>
        <w:tabs>
          <w:tab w:val="center" w:pos="4448"/>
          <w:tab w:val="right" w:pos="8896"/>
        </w:tabs>
        <w:ind w:left="-993"/>
        <w:rPr>
          <w:sz w:val="22"/>
          <w:szCs w:val="22"/>
        </w:rPr>
      </w:pPr>
    </w:p>
    <w:p w:rsidR="00D609E2" w:rsidRPr="00D609E2" w:rsidRDefault="00D609E2" w:rsidP="00D609E2">
      <w:pPr>
        <w:tabs>
          <w:tab w:val="center" w:pos="4448"/>
          <w:tab w:val="right" w:pos="8896"/>
        </w:tabs>
        <w:ind w:left="-709" w:right="284"/>
        <w:jc w:val="both"/>
        <w:rPr>
          <w:i/>
          <w:sz w:val="22"/>
          <w:szCs w:val="22"/>
        </w:rPr>
      </w:pPr>
      <w:r w:rsidRPr="00D609E2">
        <w:rPr>
          <w:i/>
          <w:sz w:val="22"/>
          <w:szCs w:val="22"/>
        </w:rPr>
        <w:t xml:space="preserve">Depuis le début de la crise sanitaire, Orange n’a cessé d’être contradictoire dans ses décisions concernant le télétravail. </w:t>
      </w:r>
    </w:p>
    <w:p w:rsidR="00D609E2" w:rsidRPr="00D609E2" w:rsidRDefault="00D609E2" w:rsidP="00D609E2">
      <w:pPr>
        <w:tabs>
          <w:tab w:val="center" w:pos="4448"/>
          <w:tab w:val="right" w:pos="8896"/>
        </w:tabs>
        <w:ind w:left="-709" w:right="284"/>
        <w:jc w:val="both"/>
        <w:rPr>
          <w:i/>
          <w:sz w:val="22"/>
          <w:szCs w:val="22"/>
        </w:rPr>
      </w:pPr>
      <w:r w:rsidRPr="00D609E2">
        <w:rPr>
          <w:i/>
          <w:sz w:val="22"/>
          <w:szCs w:val="22"/>
        </w:rPr>
        <w:t xml:space="preserve">Il a fallu, durant la période de confinement, </w:t>
      </w:r>
      <w:proofErr w:type="spellStart"/>
      <w:r w:rsidRPr="00D609E2">
        <w:rPr>
          <w:i/>
          <w:sz w:val="22"/>
          <w:szCs w:val="22"/>
        </w:rPr>
        <w:t>télétravailler</w:t>
      </w:r>
      <w:proofErr w:type="spellEnd"/>
      <w:r w:rsidRPr="00D609E2">
        <w:rPr>
          <w:i/>
          <w:sz w:val="22"/>
          <w:szCs w:val="22"/>
        </w:rPr>
        <w:t xml:space="preserve"> 5 jours/5, parfois dans des conditions dépassant largement le cadre de l’accord télétravail en vigueur (pièce dédiée et séparée de l’environnement de vie quotidienne, matériel adéquat…) et aujourd’hui</w:t>
      </w:r>
      <w:r w:rsidR="00154210">
        <w:rPr>
          <w:i/>
          <w:sz w:val="22"/>
          <w:szCs w:val="22"/>
        </w:rPr>
        <w:t>,</w:t>
      </w:r>
      <w:r w:rsidRPr="00D609E2">
        <w:rPr>
          <w:i/>
          <w:sz w:val="22"/>
          <w:szCs w:val="22"/>
        </w:rPr>
        <w:t xml:space="preserve"> tout est remis en cause de manière unilatérale de la part de l’entreprise</w:t>
      </w:r>
      <w:r w:rsidR="00154210">
        <w:rPr>
          <w:i/>
          <w:sz w:val="22"/>
          <w:szCs w:val="22"/>
        </w:rPr>
        <w:t>,</w:t>
      </w:r>
      <w:r w:rsidRPr="00D609E2">
        <w:rPr>
          <w:i/>
          <w:sz w:val="22"/>
          <w:szCs w:val="22"/>
        </w:rPr>
        <w:t xml:space="preserve"> sans concertation avec les organisations syndicales.</w:t>
      </w:r>
    </w:p>
    <w:p w:rsidR="00D609E2" w:rsidRDefault="00D609E2" w:rsidP="00D609E2">
      <w:pPr>
        <w:tabs>
          <w:tab w:val="center" w:pos="4448"/>
          <w:tab w:val="right" w:pos="8896"/>
        </w:tabs>
        <w:ind w:left="-709" w:right="284"/>
        <w:jc w:val="both"/>
        <w:rPr>
          <w:i/>
          <w:sz w:val="22"/>
          <w:szCs w:val="22"/>
        </w:rPr>
      </w:pPr>
    </w:p>
    <w:p w:rsidR="00D609E2" w:rsidRPr="00D609E2" w:rsidRDefault="00D609E2" w:rsidP="00D609E2">
      <w:pPr>
        <w:tabs>
          <w:tab w:val="center" w:pos="4448"/>
          <w:tab w:val="right" w:pos="8896"/>
        </w:tabs>
        <w:ind w:left="-709" w:right="284"/>
        <w:jc w:val="both"/>
        <w:rPr>
          <w:b/>
          <w:sz w:val="22"/>
          <w:szCs w:val="22"/>
          <w:u w:val="single"/>
        </w:rPr>
      </w:pPr>
      <w:r w:rsidRPr="0069603B">
        <w:rPr>
          <w:b/>
          <w:color w:val="FF0000"/>
          <w:sz w:val="22"/>
          <w:szCs w:val="22"/>
          <w:u w:val="single"/>
        </w:rPr>
        <w:t>Le protocole sanitaire est clair sur 2 points</w:t>
      </w:r>
      <w:r w:rsidRPr="006E4FD4">
        <w:rPr>
          <w:b/>
          <w:color w:val="FF0000"/>
          <w:sz w:val="22"/>
          <w:szCs w:val="22"/>
          <w:u w:val="single"/>
        </w:rPr>
        <w:t xml:space="preserve"> :</w:t>
      </w:r>
      <w:r w:rsidRPr="00D609E2">
        <w:rPr>
          <w:b/>
          <w:sz w:val="22"/>
          <w:szCs w:val="22"/>
          <w:u w:val="single"/>
        </w:rPr>
        <w:t xml:space="preserve"> </w:t>
      </w:r>
    </w:p>
    <w:p w:rsidR="00D609E2" w:rsidRPr="00D609E2" w:rsidRDefault="00D609E2" w:rsidP="00D609E2">
      <w:pPr>
        <w:tabs>
          <w:tab w:val="center" w:pos="4448"/>
          <w:tab w:val="right" w:pos="8896"/>
        </w:tabs>
        <w:ind w:left="-709" w:right="284"/>
        <w:jc w:val="both"/>
        <w:rPr>
          <w:sz w:val="22"/>
          <w:szCs w:val="22"/>
        </w:rPr>
      </w:pPr>
    </w:p>
    <w:p w:rsidR="00D609E2" w:rsidRDefault="00D609E2" w:rsidP="00D609E2">
      <w:pPr>
        <w:tabs>
          <w:tab w:val="center" w:pos="4448"/>
          <w:tab w:val="right" w:pos="8896"/>
        </w:tabs>
        <w:ind w:left="-709" w:right="284"/>
        <w:jc w:val="both"/>
        <w:rPr>
          <w:sz w:val="22"/>
          <w:szCs w:val="22"/>
        </w:rPr>
      </w:pPr>
      <w:r w:rsidRPr="00D609E2">
        <w:rPr>
          <w:sz w:val="22"/>
          <w:szCs w:val="22"/>
        </w:rPr>
        <w:t xml:space="preserve">-          Si le télétravail </w:t>
      </w:r>
      <w:r w:rsidR="00154210">
        <w:rPr>
          <w:sz w:val="22"/>
          <w:szCs w:val="22"/>
        </w:rPr>
        <w:t xml:space="preserve">à 100% </w:t>
      </w:r>
      <w:r w:rsidRPr="00D609E2">
        <w:rPr>
          <w:sz w:val="22"/>
          <w:szCs w:val="22"/>
        </w:rPr>
        <w:t>n’est plus la règle, il reste néanmoins une pratique recommandée</w:t>
      </w:r>
      <w:r>
        <w:rPr>
          <w:sz w:val="22"/>
          <w:szCs w:val="22"/>
        </w:rPr>
        <w:t xml:space="preserve"> par le gouvernement</w:t>
      </w:r>
      <w:r w:rsidRPr="00D609E2">
        <w:rPr>
          <w:sz w:val="22"/>
          <w:szCs w:val="22"/>
        </w:rPr>
        <w:t xml:space="preserve"> car il participe à la prévention du risque d’infection </w:t>
      </w:r>
      <w:r>
        <w:rPr>
          <w:sz w:val="22"/>
          <w:szCs w:val="22"/>
        </w:rPr>
        <w:t xml:space="preserve">à la </w:t>
      </w:r>
      <w:r w:rsidRPr="00D609E2">
        <w:rPr>
          <w:sz w:val="22"/>
          <w:szCs w:val="22"/>
        </w:rPr>
        <w:t>COVID</w:t>
      </w:r>
      <w:r>
        <w:rPr>
          <w:sz w:val="22"/>
          <w:szCs w:val="22"/>
        </w:rPr>
        <w:t>-19</w:t>
      </w:r>
      <w:r w:rsidRPr="00D609E2">
        <w:rPr>
          <w:sz w:val="22"/>
          <w:szCs w:val="22"/>
        </w:rPr>
        <w:t xml:space="preserve"> et permet de</w:t>
      </w:r>
      <w:r>
        <w:rPr>
          <w:sz w:val="22"/>
          <w:szCs w:val="22"/>
        </w:rPr>
        <w:t xml:space="preserve"> limiter l’affluence sur site et</w:t>
      </w:r>
      <w:r w:rsidRPr="00D609E2">
        <w:rPr>
          <w:sz w:val="22"/>
          <w:szCs w:val="22"/>
        </w:rPr>
        <w:t xml:space="preserve"> dans les transports en communs</w:t>
      </w:r>
      <w:r>
        <w:rPr>
          <w:sz w:val="22"/>
          <w:szCs w:val="22"/>
        </w:rPr>
        <w:t>.</w:t>
      </w:r>
    </w:p>
    <w:p w:rsidR="00D609E2" w:rsidRPr="00D609E2" w:rsidRDefault="00154210" w:rsidP="00154210">
      <w:pPr>
        <w:tabs>
          <w:tab w:val="center" w:pos="4448"/>
          <w:tab w:val="right" w:pos="8896"/>
        </w:tabs>
        <w:ind w:left="-709" w:righ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        </w:t>
      </w:r>
      <w:r w:rsidR="00D609E2" w:rsidRPr="00D609E2">
        <w:rPr>
          <w:sz w:val="22"/>
          <w:szCs w:val="22"/>
        </w:rPr>
        <w:t>Le dialogue social est un élément essentiel et les I</w:t>
      </w:r>
      <w:r w:rsidR="00D609E2">
        <w:rPr>
          <w:sz w:val="22"/>
          <w:szCs w:val="22"/>
        </w:rPr>
        <w:t xml:space="preserve">nstances </w:t>
      </w:r>
      <w:r w:rsidR="00D609E2" w:rsidRPr="00D609E2">
        <w:rPr>
          <w:sz w:val="22"/>
          <w:szCs w:val="22"/>
        </w:rPr>
        <w:t>R</w:t>
      </w:r>
      <w:r w:rsidR="00D609E2">
        <w:rPr>
          <w:sz w:val="22"/>
          <w:szCs w:val="22"/>
        </w:rPr>
        <w:t xml:space="preserve">eprésentatives du </w:t>
      </w:r>
      <w:r w:rsidR="00D609E2" w:rsidRPr="00D609E2">
        <w:rPr>
          <w:sz w:val="22"/>
          <w:szCs w:val="22"/>
        </w:rPr>
        <w:t>P</w:t>
      </w:r>
      <w:r w:rsidR="00D609E2">
        <w:rPr>
          <w:sz w:val="22"/>
          <w:szCs w:val="22"/>
        </w:rPr>
        <w:t>ersonnel (IRP)</w:t>
      </w:r>
      <w:r w:rsidR="00D609E2" w:rsidRPr="00D609E2">
        <w:rPr>
          <w:sz w:val="22"/>
          <w:szCs w:val="22"/>
        </w:rPr>
        <w:t xml:space="preserve"> doivent être associé</w:t>
      </w:r>
      <w:r w:rsidR="00D609E2">
        <w:rPr>
          <w:sz w:val="22"/>
          <w:szCs w:val="22"/>
        </w:rPr>
        <w:t>e</w:t>
      </w:r>
      <w:r w:rsidR="00D609E2" w:rsidRPr="00D609E2">
        <w:rPr>
          <w:sz w:val="22"/>
          <w:szCs w:val="22"/>
        </w:rPr>
        <w:t>s à la déclinaison des mesures sanitaires prévues par ce protocole.</w:t>
      </w:r>
    </w:p>
    <w:p w:rsidR="00D609E2" w:rsidRDefault="00D609E2" w:rsidP="00D609E2">
      <w:pPr>
        <w:tabs>
          <w:tab w:val="center" w:pos="4448"/>
          <w:tab w:val="right" w:pos="8896"/>
        </w:tabs>
        <w:ind w:left="-709" w:right="284"/>
        <w:jc w:val="both"/>
        <w:rPr>
          <w:sz w:val="22"/>
          <w:szCs w:val="22"/>
        </w:rPr>
      </w:pPr>
    </w:p>
    <w:p w:rsidR="00D609E2" w:rsidRPr="0069603B" w:rsidRDefault="00D609E2" w:rsidP="00D609E2">
      <w:pPr>
        <w:tabs>
          <w:tab w:val="center" w:pos="4448"/>
          <w:tab w:val="right" w:pos="8896"/>
        </w:tabs>
        <w:ind w:left="-709" w:right="284"/>
        <w:jc w:val="both"/>
        <w:rPr>
          <w:b/>
          <w:color w:val="FF0000"/>
          <w:sz w:val="22"/>
          <w:szCs w:val="22"/>
          <w:u w:val="single"/>
        </w:rPr>
      </w:pPr>
      <w:r w:rsidRPr="0069603B">
        <w:rPr>
          <w:b/>
          <w:color w:val="FF0000"/>
          <w:sz w:val="22"/>
          <w:szCs w:val="22"/>
          <w:u w:val="single"/>
        </w:rPr>
        <w:t>Force est de constater que chez Orange, c’est tout l’inverse :</w:t>
      </w:r>
    </w:p>
    <w:p w:rsidR="00D609E2" w:rsidRPr="00D609E2" w:rsidRDefault="00D609E2" w:rsidP="00D609E2">
      <w:pPr>
        <w:tabs>
          <w:tab w:val="center" w:pos="4448"/>
          <w:tab w:val="right" w:pos="8896"/>
        </w:tabs>
        <w:ind w:left="-709" w:right="284"/>
        <w:jc w:val="both"/>
        <w:rPr>
          <w:b/>
          <w:sz w:val="22"/>
          <w:szCs w:val="22"/>
          <w:u w:val="single"/>
        </w:rPr>
      </w:pPr>
    </w:p>
    <w:p w:rsidR="00D609E2" w:rsidRPr="00D609E2" w:rsidRDefault="00D609E2" w:rsidP="00D609E2">
      <w:pPr>
        <w:tabs>
          <w:tab w:val="left" w:pos="0"/>
          <w:tab w:val="center" w:pos="4448"/>
          <w:tab w:val="right" w:pos="8896"/>
        </w:tabs>
        <w:ind w:left="-709" w:right="284"/>
        <w:jc w:val="both"/>
        <w:rPr>
          <w:sz w:val="22"/>
          <w:szCs w:val="22"/>
        </w:rPr>
      </w:pPr>
      <w:r w:rsidRPr="00D609E2">
        <w:rPr>
          <w:sz w:val="22"/>
          <w:szCs w:val="22"/>
        </w:rPr>
        <w:t>-          Les IRP n’ont jamais été associées aux mesures prises par l’entreprise et ceci depuis le début de l</w:t>
      </w:r>
      <w:bookmarkStart w:id="0" w:name="_GoBack"/>
      <w:bookmarkEnd w:id="0"/>
      <w:r w:rsidRPr="00D609E2">
        <w:rPr>
          <w:sz w:val="22"/>
          <w:szCs w:val="22"/>
        </w:rPr>
        <w:t>a crise sanitaire</w:t>
      </w:r>
      <w:r>
        <w:rPr>
          <w:sz w:val="22"/>
          <w:szCs w:val="22"/>
        </w:rPr>
        <w:t>.</w:t>
      </w:r>
    </w:p>
    <w:p w:rsidR="00D609E2" w:rsidRPr="00D609E2" w:rsidRDefault="00D609E2" w:rsidP="00D609E2">
      <w:pPr>
        <w:tabs>
          <w:tab w:val="center" w:pos="4448"/>
          <w:tab w:val="right" w:pos="8896"/>
        </w:tabs>
        <w:ind w:left="-709" w:right="284"/>
        <w:jc w:val="both"/>
        <w:rPr>
          <w:sz w:val="22"/>
          <w:szCs w:val="22"/>
        </w:rPr>
      </w:pPr>
      <w:r w:rsidRPr="00D609E2">
        <w:rPr>
          <w:sz w:val="22"/>
          <w:szCs w:val="22"/>
        </w:rPr>
        <w:t>-          L’entreprise est passée d’un télétravail confin</w:t>
      </w:r>
      <w:r>
        <w:rPr>
          <w:sz w:val="22"/>
          <w:szCs w:val="22"/>
        </w:rPr>
        <w:t xml:space="preserve">é de 5 jours/5 à un télétravail </w:t>
      </w:r>
      <w:proofErr w:type="spellStart"/>
      <w:r>
        <w:rPr>
          <w:sz w:val="22"/>
          <w:szCs w:val="22"/>
        </w:rPr>
        <w:t>dé</w:t>
      </w:r>
      <w:r w:rsidRPr="00D609E2">
        <w:rPr>
          <w:sz w:val="22"/>
          <w:szCs w:val="22"/>
        </w:rPr>
        <w:t>confiné</w:t>
      </w:r>
      <w:proofErr w:type="spellEnd"/>
      <w:r w:rsidRPr="00D609E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 w:rsidRPr="00D609E2">
        <w:rPr>
          <w:sz w:val="22"/>
          <w:szCs w:val="22"/>
        </w:rPr>
        <w:t xml:space="preserve">3 jours/5 et maintenant à un télétravail </w:t>
      </w:r>
      <w:r>
        <w:rPr>
          <w:sz w:val="22"/>
          <w:szCs w:val="22"/>
        </w:rPr>
        <w:t xml:space="preserve">occasionnel </w:t>
      </w:r>
      <w:r w:rsidRPr="00D609E2">
        <w:rPr>
          <w:sz w:val="22"/>
          <w:szCs w:val="22"/>
        </w:rPr>
        <w:t xml:space="preserve">« élargi » </w:t>
      </w:r>
      <w:r>
        <w:rPr>
          <w:sz w:val="22"/>
          <w:szCs w:val="22"/>
        </w:rPr>
        <w:t>à</w:t>
      </w:r>
      <w:r w:rsidRPr="00D609E2">
        <w:rPr>
          <w:sz w:val="22"/>
          <w:szCs w:val="22"/>
        </w:rPr>
        <w:t xml:space="preserve"> 2 jours/5</w:t>
      </w:r>
      <w:r>
        <w:rPr>
          <w:sz w:val="22"/>
          <w:szCs w:val="22"/>
        </w:rPr>
        <w:t>.</w:t>
      </w:r>
    </w:p>
    <w:p w:rsidR="00D609E2" w:rsidRDefault="00D609E2" w:rsidP="00D609E2">
      <w:pPr>
        <w:tabs>
          <w:tab w:val="center" w:pos="4448"/>
          <w:tab w:val="right" w:pos="8896"/>
        </w:tabs>
        <w:ind w:left="-709" w:right="284"/>
        <w:jc w:val="both"/>
        <w:rPr>
          <w:sz w:val="22"/>
          <w:szCs w:val="22"/>
        </w:rPr>
      </w:pPr>
      <w:r w:rsidRPr="00D609E2">
        <w:rPr>
          <w:sz w:val="22"/>
          <w:szCs w:val="22"/>
        </w:rPr>
        <w:t>-</w:t>
      </w:r>
      <w:r w:rsidR="00A27B68">
        <w:rPr>
          <w:sz w:val="22"/>
          <w:szCs w:val="22"/>
        </w:rPr>
        <w:t xml:space="preserve">         </w:t>
      </w:r>
      <w:r w:rsidRPr="00D609E2">
        <w:rPr>
          <w:sz w:val="22"/>
          <w:szCs w:val="22"/>
        </w:rPr>
        <w:t xml:space="preserve">On demande même à certaines équipes d’être présentes sur site les mêmes jours! Quelle est la logique de «prévention des risques » à imposer </w:t>
      </w:r>
      <w:r>
        <w:rPr>
          <w:sz w:val="22"/>
          <w:szCs w:val="22"/>
        </w:rPr>
        <w:t>un retour massif des personnels</w:t>
      </w:r>
      <w:r w:rsidRPr="00D609E2">
        <w:rPr>
          <w:sz w:val="22"/>
          <w:szCs w:val="22"/>
        </w:rPr>
        <w:t>?</w:t>
      </w:r>
      <w:r>
        <w:rPr>
          <w:sz w:val="22"/>
          <w:szCs w:val="22"/>
        </w:rPr>
        <w:t xml:space="preserve"> Tout cela en prenant compte </w:t>
      </w:r>
      <w:r w:rsidR="00A27B68">
        <w:rPr>
          <w:sz w:val="22"/>
          <w:szCs w:val="22"/>
        </w:rPr>
        <w:t>d</w:t>
      </w:r>
      <w:r>
        <w:rPr>
          <w:sz w:val="22"/>
          <w:szCs w:val="22"/>
        </w:rPr>
        <w:t>es problématiques de restauration collective. Les jours où les managers demandent à toute leur équipe d’être présente sur place, l’affluence des restaurants collectifs est très importante et le respect des règles sanitaires est quasi-impossible (pas assez de place, files d’attente sans distanciation sociale…).</w:t>
      </w:r>
    </w:p>
    <w:p w:rsidR="00D609E2" w:rsidRDefault="00D609E2" w:rsidP="00D609E2">
      <w:pPr>
        <w:tabs>
          <w:tab w:val="center" w:pos="4448"/>
          <w:tab w:val="right" w:pos="8896"/>
        </w:tabs>
        <w:ind w:left="-709" w:right="284"/>
        <w:jc w:val="both"/>
        <w:rPr>
          <w:sz w:val="22"/>
          <w:szCs w:val="22"/>
        </w:rPr>
      </w:pPr>
    </w:p>
    <w:p w:rsidR="00D609E2" w:rsidRPr="00D609E2" w:rsidRDefault="00D609E2" w:rsidP="00D609E2">
      <w:pPr>
        <w:tabs>
          <w:tab w:val="center" w:pos="4448"/>
          <w:tab w:val="right" w:pos="8896"/>
        </w:tabs>
        <w:ind w:left="-709" w:right="284"/>
        <w:jc w:val="both"/>
        <w:rPr>
          <w:b/>
          <w:i/>
          <w:sz w:val="22"/>
          <w:szCs w:val="22"/>
        </w:rPr>
      </w:pPr>
      <w:r w:rsidRPr="00D609E2">
        <w:rPr>
          <w:b/>
          <w:i/>
          <w:sz w:val="22"/>
          <w:szCs w:val="22"/>
        </w:rPr>
        <w:t>Parallèlement, i</w:t>
      </w:r>
      <w:r w:rsidR="00F1350A">
        <w:rPr>
          <w:b/>
          <w:i/>
          <w:sz w:val="22"/>
          <w:szCs w:val="22"/>
        </w:rPr>
        <w:t xml:space="preserve">l aura fallu attendre le 1er </w:t>
      </w:r>
      <w:r w:rsidR="00F1350A" w:rsidRPr="00BF5B06">
        <w:rPr>
          <w:b/>
          <w:i/>
          <w:sz w:val="22"/>
          <w:szCs w:val="22"/>
        </w:rPr>
        <w:t>aoû</w:t>
      </w:r>
      <w:r w:rsidRPr="00BF5B06">
        <w:rPr>
          <w:b/>
          <w:i/>
          <w:sz w:val="22"/>
          <w:szCs w:val="22"/>
        </w:rPr>
        <w:t>t</w:t>
      </w:r>
      <w:r w:rsidRPr="00D609E2">
        <w:rPr>
          <w:b/>
          <w:i/>
          <w:sz w:val="22"/>
          <w:szCs w:val="22"/>
        </w:rPr>
        <w:t xml:space="preserve"> pour remettre en ligne le formulaire de télétravail régulier et</w:t>
      </w:r>
      <w:r>
        <w:rPr>
          <w:b/>
          <w:i/>
          <w:sz w:val="22"/>
          <w:szCs w:val="22"/>
        </w:rPr>
        <w:t>,</w:t>
      </w:r>
      <w:r w:rsidR="00BF5B06">
        <w:rPr>
          <w:b/>
          <w:i/>
          <w:sz w:val="22"/>
          <w:szCs w:val="22"/>
        </w:rPr>
        <w:t xml:space="preserve"> alors que </w:t>
      </w:r>
      <w:r w:rsidRPr="00D609E2">
        <w:rPr>
          <w:b/>
          <w:i/>
          <w:sz w:val="22"/>
          <w:szCs w:val="22"/>
        </w:rPr>
        <w:t>l’entreprise s’était engagée à répondre courant septembre à ces nouvelles demandes, elle les refuse progressivement</w:t>
      </w:r>
      <w:r w:rsidR="00D449AA">
        <w:rPr>
          <w:b/>
          <w:i/>
          <w:sz w:val="22"/>
          <w:szCs w:val="22"/>
        </w:rPr>
        <w:t> !</w:t>
      </w:r>
    </w:p>
    <w:p w:rsidR="00D609E2" w:rsidRDefault="00D609E2" w:rsidP="00D609E2">
      <w:pPr>
        <w:tabs>
          <w:tab w:val="center" w:pos="4448"/>
          <w:tab w:val="right" w:pos="8896"/>
        </w:tabs>
        <w:ind w:left="-709" w:right="284"/>
        <w:rPr>
          <w:b/>
          <w:sz w:val="22"/>
          <w:szCs w:val="22"/>
          <w:u w:val="single"/>
        </w:rPr>
      </w:pPr>
    </w:p>
    <w:p w:rsidR="00D609E2" w:rsidRPr="0069603B" w:rsidRDefault="00D609E2" w:rsidP="00D609E2">
      <w:pPr>
        <w:tabs>
          <w:tab w:val="center" w:pos="4448"/>
          <w:tab w:val="right" w:pos="8896"/>
        </w:tabs>
        <w:ind w:left="-709" w:right="284"/>
        <w:jc w:val="both"/>
        <w:rPr>
          <w:b/>
          <w:color w:val="FF0000"/>
          <w:sz w:val="22"/>
          <w:szCs w:val="22"/>
          <w:u w:val="single"/>
        </w:rPr>
      </w:pPr>
      <w:r w:rsidRPr="0069603B">
        <w:rPr>
          <w:b/>
          <w:color w:val="FF0000"/>
          <w:sz w:val="22"/>
          <w:szCs w:val="22"/>
          <w:u w:val="single"/>
        </w:rPr>
        <w:t xml:space="preserve">Pourtant, les premiers résultats d’une étude </w:t>
      </w:r>
      <w:r w:rsidR="00D449AA" w:rsidRPr="0069603B">
        <w:rPr>
          <w:b/>
          <w:color w:val="FF0000"/>
          <w:sz w:val="22"/>
          <w:szCs w:val="22"/>
          <w:u w:val="single"/>
        </w:rPr>
        <w:t>sur le télétravail ont révélé</w:t>
      </w:r>
      <w:r w:rsidRPr="0069603B">
        <w:rPr>
          <w:b/>
          <w:color w:val="FF0000"/>
          <w:sz w:val="22"/>
          <w:szCs w:val="22"/>
          <w:u w:val="single"/>
        </w:rPr>
        <w:t xml:space="preserve"> que</w:t>
      </w:r>
      <w:r w:rsidR="0069603B">
        <w:rPr>
          <w:b/>
          <w:color w:val="FF0000"/>
          <w:sz w:val="22"/>
          <w:szCs w:val="22"/>
          <w:u w:val="single"/>
        </w:rPr>
        <w:t xml:space="preserve"> </w:t>
      </w:r>
      <w:r w:rsidRPr="0069603B">
        <w:rPr>
          <w:b/>
          <w:color w:val="FF0000"/>
          <w:sz w:val="22"/>
          <w:szCs w:val="22"/>
          <w:u w:val="single"/>
        </w:rPr>
        <w:t>:</w:t>
      </w:r>
    </w:p>
    <w:p w:rsidR="00D609E2" w:rsidRPr="00D609E2" w:rsidRDefault="00D609E2" w:rsidP="00D609E2">
      <w:pPr>
        <w:tabs>
          <w:tab w:val="center" w:pos="4448"/>
          <w:tab w:val="right" w:pos="8896"/>
        </w:tabs>
        <w:ind w:left="-709" w:right="284"/>
        <w:jc w:val="both"/>
        <w:rPr>
          <w:b/>
          <w:sz w:val="22"/>
          <w:szCs w:val="22"/>
          <w:u w:val="single"/>
        </w:rPr>
      </w:pPr>
    </w:p>
    <w:p w:rsidR="00D609E2" w:rsidRPr="00D609E2" w:rsidRDefault="00D609E2" w:rsidP="00D609E2">
      <w:pPr>
        <w:tabs>
          <w:tab w:val="center" w:pos="4448"/>
          <w:tab w:val="right" w:pos="8896"/>
        </w:tabs>
        <w:ind w:left="-709" w:right="284"/>
        <w:jc w:val="both"/>
        <w:rPr>
          <w:sz w:val="22"/>
          <w:szCs w:val="22"/>
        </w:rPr>
      </w:pPr>
      <w:r w:rsidRPr="00D609E2">
        <w:rPr>
          <w:sz w:val="22"/>
          <w:szCs w:val="22"/>
        </w:rPr>
        <w:t>-          62 800 salariés ont été en situation de télétravail</w:t>
      </w:r>
      <w:r w:rsidR="00D449AA">
        <w:rPr>
          <w:sz w:val="22"/>
          <w:szCs w:val="22"/>
        </w:rPr>
        <w:t xml:space="preserve"> durant le confinement</w:t>
      </w:r>
      <w:r>
        <w:rPr>
          <w:sz w:val="22"/>
          <w:szCs w:val="22"/>
        </w:rPr>
        <w:t>.</w:t>
      </w:r>
    </w:p>
    <w:p w:rsidR="00D609E2" w:rsidRPr="00D609E2" w:rsidRDefault="00D609E2" w:rsidP="00D609E2">
      <w:pPr>
        <w:tabs>
          <w:tab w:val="center" w:pos="4448"/>
          <w:tab w:val="right" w:pos="8896"/>
        </w:tabs>
        <w:ind w:left="-709" w:right="284"/>
        <w:jc w:val="both"/>
        <w:rPr>
          <w:sz w:val="22"/>
          <w:szCs w:val="22"/>
        </w:rPr>
      </w:pPr>
      <w:r w:rsidRPr="00D609E2">
        <w:rPr>
          <w:sz w:val="22"/>
          <w:szCs w:val="22"/>
        </w:rPr>
        <w:t>-          36 000 personnes sont en télétravail régulier ou occasionnel</w:t>
      </w:r>
      <w:r w:rsidR="00D449AA">
        <w:rPr>
          <w:sz w:val="22"/>
          <w:szCs w:val="22"/>
        </w:rPr>
        <w:t>,</w:t>
      </w:r>
      <w:r w:rsidRPr="00D609E2">
        <w:rPr>
          <w:sz w:val="22"/>
          <w:szCs w:val="22"/>
        </w:rPr>
        <w:t xml:space="preserve"> soit 39%</w:t>
      </w:r>
      <w:r>
        <w:rPr>
          <w:sz w:val="22"/>
          <w:szCs w:val="22"/>
        </w:rPr>
        <w:t xml:space="preserve"> des salariés.</w:t>
      </w:r>
    </w:p>
    <w:p w:rsidR="00D609E2" w:rsidRPr="00D609E2" w:rsidRDefault="00D609E2" w:rsidP="00D609E2">
      <w:pPr>
        <w:tabs>
          <w:tab w:val="center" w:pos="4448"/>
          <w:tab w:val="right" w:pos="8896"/>
        </w:tabs>
        <w:ind w:left="-709" w:right="284"/>
        <w:jc w:val="both"/>
        <w:rPr>
          <w:sz w:val="22"/>
          <w:szCs w:val="22"/>
        </w:rPr>
      </w:pPr>
      <w:r w:rsidRPr="00D609E2">
        <w:rPr>
          <w:sz w:val="22"/>
          <w:szCs w:val="22"/>
        </w:rPr>
        <w:t>-          52%</w:t>
      </w:r>
      <w:r w:rsidR="00D449AA">
        <w:rPr>
          <w:sz w:val="22"/>
          <w:szCs w:val="22"/>
        </w:rPr>
        <w:t xml:space="preserve"> des salariés</w:t>
      </w:r>
      <w:r w:rsidRPr="00D609E2">
        <w:rPr>
          <w:sz w:val="22"/>
          <w:szCs w:val="22"/>
        </w:rPr>
        <w:t xml:space="preserve"> aimeraient y recourir</w:t>
      </w:r>
      <w:r w:rsidR="00D449AA">
        <w:rPr>
          <w:sz w:val="22"/>
          <w:szCs w:val="22"/>
        </w:rPr>
        <w:t>,</w:t>
      </w:r>
      <w:r w:rsidRPr="00D609E2">
        <w:rPr>
          <w:sz w:val="22"/>
          <w:szCs w:val="22"/>
        </w:rPr>
        <w:t xml:space="preserve"> beaucoup plus qu’avant</w:t>
      </w:r>
      <w:r>
        <w:rPr>
          <w:sz w:val="22"/>
          <w:szCs w:val="22"/>
        </w:rPr>
        <w:t>.</w:t>
      </w:r>
    </w:p>
    <w:p w:rsidR="00D609E2" w:rsidRDefault="00D609E2" w:rsidP="00D609E2">
      <w:pPr>
        <w:tabs>
          <w:tab w:val="center" w:pos="4448"/>
          <w:tab w:val="right" w:pos="8896"/>
        </w:tabs>
        <w:ind w:left="-709" w:right="284"/>
        <w:jc w:val="both"/>
        <w:rPr>
          <w:sz w:val="22"/>
          <w:szCs w:val="22"/>
        </w:rPr>
      </w:pPr>
      <w:r w:rsidRPr="00D609E2">
        <w:rPr>
          <w:sz w:val="22"/>
          <w:szCs w:val="22"/>
        </w:rPr>
        <w:t>-          93% des managers se disent prêts à développer le télétravail dans leur équipe</w:t>
      </w:r>
      <w:r>
        <w:rPr>
          <w:sz w:val="22"/>
          <w:szCs w:val="22"/>
        </w:rPr>
        <w:t>.</w:t>
      </w:r>
    </w:p>
    <w:p w:rsidR="00D609E2" w:rsidRDefault="00D609E2" w:rsidP="00D609E2">
      <w:pPr>
        <w:tabs>
          <w:tab w:val="center" w:pos="4448"/>
          <w:tab w:val="right" w:pos="8896"/>
        </w:tabs>
        <w:ind w:left="-709" w:right="284"/>
        <w:jc w:val="both"/>
        <w:rPr>
          <w:sz w:val="22"/>
          <w:szCs w:val="22"/>
        </w:rPr>
      </w:pPr>
    </w:p>
    <w:p w:rsidR="00D609E2" w:rsidRDefault="00D609E2" w:rsidP="00D449AA">
      <w:pPr>
        <w:tabs>
          <w:tab w:val="center" w:pos="4448"/>
          <w:tab w:val="right" w:pos="8896"/>
        </w:tabs>
        <w:ind w:left="-709" w:right="284"/>
        <w:jc w:val="both"/>
        <w:rPr>
          <w:i/>
          <w:sz w:val="22"/>
          <w:szCs w:val="22"/>
        </w:rPr>
      </w:pPr>
      <w:r w:rsidRPr="00D609E2">
        <w:rPr>
          <w:i/>
          <w:sz w:val="22"/>
          <w:szCs w:val="22"/>
        </w:rPr>
        <w:t>Alors que la crise sanitaire a montré la capacité des salariés à s’adapter à la situation avec la généralisation du télétravail imposé et confiné</w:t>
      </w:r>
      <w:r w:rsidR="001D390A">
        <w:rPr>
          <w:i/>
          <w:sz w:val="22"/>
          <w:szCs w:val="22"/>
        </w:rPr>
        <w:t>,</w:t>
      </w:r>
      <w:r w:rsidRPr="00D609E2">
        <w:rPr>
          <w:i/>
          <w:sz w:val="22"/>
          <w:szCs w:val="22"/>
        </w:rPr>
        <w:t xml:space="preserve"> dans des conditions parfois difficilement supportables (manque de matériel, impact vie privée/vie professionnelle</w:t>
      </w:r>
      <w:r w:rsidR="00D449AA">
        <w:rPr>
          <w:i/>
          <w:sz w:val="22"/>
          <w:szCs w:val="22"/>
        </w:rPr>
        <w:t>…</w:t>
      </w:r>
      <w:r w:rsidRPr="00D609E2">
        <w:rPr>
          <w:i/>
          <w:sz w:val="22"/>
          <w:szCs w:val="22"/>
        </w:rPr>
        <w:t>), l’entreprise n’a aucunement fait preuve de reconnaissance envers le personnel</w:t>
      </w:r>
      <w:r w:rsidR="00D449AA">
        <w:rPr>
          <w:i/>
          <w:sz w:val="22"/>
          <w:szCs w:val="22"/>
        </w:rPr>
        <w:t>,</w:t>
      </w:r>
      <w:r w:rsidRPr="00D609E2">
        <w:rPr>
          <w:i/>
          <w:sz w:val="22"/>
          <w:szCs w:val="22"/>
        </w:rPr>
        <w:t xml:space="preserve"> que ce soit avec les JTL imposés, la prime COVID ou les NAO</w:t>
      </w:r>
      <w:r w:rsidR="00D449AA">
        <w:rPr>
          <w:i/>
          <w:sz w:val="22"/>
          <w:szCs w:val="22"/>
        </w:rPr>
        <w:t>. Néanmoins, Orange</w:t>
      </w:r>
      <w:r w:rsidRPr="00D609E2">
        <w:rPr>
          <w:i/>
          <w:sz w:val="22"/>
          <w:szCs w:val="22"/>
        </w:rPr>
        <w:t xml:space="preserve"> compte bien tenir ses engagements de rémunération aux actionnaires</w:t>
      </w:r>
      <w:r w:rsidR="00D449AA">
        <w:rPr>
          <w:i/>
          <w:sz w:val="22"/>
          <w:szCs w:val="22"/>
        </w:rPr>
        <w:t>..</w:t>
      </w:r>
      <w:r w:rsidRPr="00D609E2">
        <w:rPr>
          <w:i/>
          <w:sz w:val="22"/>
          <w:szCs w:val="22"/>
        </w:rPr>
        <w:t>!</w:t>
      </w:r>
    </w:p>
    <w:p w:rsidR="001D390A" w:rsidRDefault="001D390A" w:rsidP="001D390A">
      <w:pPr>
        <w:tabs>
          <w:tab w:val="center" w:pos="4448"/>
          <w:tab w:val="right" w:pos="8896"/>
        </w:tabs>
        <w:ind w:left="-709" w:right="284"/>
        <w:jc w:val="center"/>
        <w:rPr>
          <w:b/>
          <w:sz w:val="32"/>
          <w:szCs w:val="32"/>
        </w:rPr>
      </w:pPr>
    </w:p>
    <w:p w:rsidR="001D390A" w:rsidRPr="00936B1F" w:rsidRDefault="001D390A" w:rsidP="001D390A">
      <w:pPr>
        <w:tabs>
          <w:tab w:val="center" w:pos="4448"/>
          <w:tab w:val="right" w:pos="8896"/>
        </w:tabs>
        <w:ind w:left="-709" w:right="284"/>
        <w:jc w:val="center"/>
        <w:rPr>
          <w:b/>
          <w:sz w:val="32"/>
          <w:szCs w:val="32"/>
        </w:rPr>
      </w:pPr>
      <w:r w:rsidRPr="00936B1F">
        <w:rPr>
          <w:b/>
          <w:sz w:val="32"/>
          <w:szCs w:val="32"/>
        </w:rPr>
        <w:t>Là encore, le paradoxe est total !</w:t>
      </w:r>
    </w:p>
    <w:p w:rsidR="001D390A" w:rsidRDefault="001D390A" w:rsidP="001D390A">
      <w:pPr>
        <w:tabs>
          <w:tab w:val="center" w:pos="4448"/>
          <w:tab w:val="right" w:pos="8896"/>
        </w:tabs>
        <w:ind w:left="-709" w:right="284"/>
        <w:jc w:val="center"/>
        <w:rPr>
          <w:b/>
          <w:sz w:val="32"/>
          <w:szCs w:val="32"/>
        </w:rPr>
      </w:pPr>
    </w:p>
    <w:p w:rsidR="001D390A" w:rsidRDefault="001D390A" w:rsidP="001D390A">
      <w:pPr>
        <w:tabs>
          <w:tab w:val="center" w:pos="4448"/>
          <w:tab w:val="right" w:pos="8896"/>
        </w:tabs>
        <w:ind w:left="-709" w:right="284"/>
        <w:jc w:val="both"/>
        <w:rPr>
          <w:sz w:val="22"/>
          <w:szCs w:val="22"/>
        </w:rPr>
      </w:pPr>
      <w:r w:rsidRPr="001D390A">
        <w:rPr>
          <w:sz w:val="22"/>
          <w:szCs w:val="22"/>
        </w:rPr>
        <w:lastRenderedPageBreak/>
        <w:t>Il ne s’agit pas ici d’être pour ou contre</w:t>
      </w:r>
      <w:r>
        <w:rPr>
          <w:sz w:val="22"/>
          <w:szCs w:val="22"/>
        </w:rPr>
        <w:t xml:space="preserve"> le télétravail,</w:t>
      </w:r>
      <w:r w:rsidRPr="001D390A">
        <w:rPr>
          <w:sz w:val="22"/>
          <w:szCs w:val="22"/>
        </w:rPr>
        <w:t xml:space="preserve"> mais</w:t>
      </w:r>
      <w:r>
        <w:rPr>
          <w:sz w:val="22"/>
          <w:szCs w:val="22"/>
        </w:rPr>
        <w:t>,</w:t>
      </w:r>
      <w:r w:rsidRPr="001D390A">
        <w:rPr>
          <w:sz w:val="22"/>
          <w:szCs w:val="22"/>
        </w:rPr>
        <w:t xml:space="preserve"> qu’on le veuille ou non, </w:t>
      </w:r>
      <w:r>
        <w:rPr>
          <w:sz w:val="22"/>
          <w:szCs w:val="22"/>
        </w:rPr>
        <w:t>il</w:t>
      </w:r>
      <w:r w:rsidRPr="001D390A">
        <w:rPr>
          <w:sz w:val="22"/>
          <w:szCs w:val="22"/>
        </w:rPr>
        <w:t xml:space="preserve"> devient un mode d’organisation incontournable. La crise sanitaire a accéléré le phénomène et le port du masque rendu obliga</w:t>
      </w:r>
      <w:r w:rsidR="00154210">
        <w:rPr>
          <w:sz w:val="22"/>
          <w:szCs w:val="22"/>
        </w:rPr>
        <w:t>toire depuis le 1er septembre (</w:t>
      </w:r>
      <w:r w:rsidRPr="001D390A">
        <w:rPr>
          <w:sz w:val="22"/>
          <w:szCs w:val="22"/>
        </w:rPr>
        <w:t>difficilement supportable</w:t>
      </w:r>
      <w:r w:rsidR="00D449AA">
        <w:rPr>
          <w:sz w:val="22"/>
          <w:szCs w:val="22"/>
        </w:rPr>
        <w:t xml:space="preserve">) </w:t>
      </w:r>
      <w:r w:rsidRPr="001D390A">
        <w:rPr>
          <w:sz w:val="22"/>
          <w:szCs w:val="22"/>
        </w:rPr>
        <w:t xml:space="preserve">pousse même les </w:t>
      </w:r>
      <w:r>
        <w:rPr>
          <w:sz w:val="22"/>
          <w:szCs w:val="22"/>
        </w:rPr>
        <w:t>salariés</w:t>
      </w:r>
      <w:r w:rsidRPr="001D390A">
        <w:rPr>
          <w:sz w:val="22"/>
          <w:szCs w:val="22"/>
        </w:rPr>
        <w:t xml:space="preserve"> qui ne souhaitaient</w:t>
      </w:r>
      <w:r>
        <w:rPr>
          <w:sz w:val="22"/>
          <w:szCs w:val="22"/>
        </w:rPr>
        <w:t xml:space="preserve"> pas</w:t>
      </w:r>
      <w:r w:rsidRPr="001D390A"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a priori</w:t>
      </w:r>
      <w:r w:rsidRPr="001D390A">
        <w:rPr>
          <w:sz w:val="22"/>
          <w:szCs w:val="22"/>
        </w:rPr>
        <w:t xml:space="preserve"> avoir recours au tél</w:t>
      </w:r>
      <w:r>
        <w:rPr>
          <w:sz w:val="22"/>
          <w:szCs w:val="22"/>
        </w:rPr>
        <w:t>étravail à déposer des demandes</w:t>
      </w:r>
      <w:r w:rsidRPr="001D390A">
        <w:rPr>
          <w:sz w:val="22"/>
          <w:szCs w:val="22"/>
        </w:rPr>
        <w:t>. Le</w:t>
      </w:r>
      <w:r>
        <w:rPr>
          <w:sz w:val="22"/>
          <w:szCs w:val="22"/>
        </w:rPr>
        <w:t>s</w:t>
      </w:r>
      <w:r w:rsidRPr="001D390A">
        <w:rPr>
          <w:sz w:val="22"/>
          <w:szCs w:val="22"/>
        </w:rPr>
        <w:t xml:space="preserve"> salarié</w:t>
      </w:r>
      <w:r>
        <w:rPr>
          <w:sz w:val="22"/>
          <w:szCs w:val="22"/>
        </w:rPr>
        <w:t>s</w:t>
      </w:r>
      <w:r w:rsidRPr="001D390A">
        <w:rPr>
          <w:sz w:val="22"/>
          <w:szCs w:val="22"/>
        </w:rPr>
        <w:t xml:space="preserve"> doi</w:t>
      </w:r>
      <w:r>
        <w:rPr>
          <w:sz w:val="22"/>
          <w:szCs w:val="22"/>
        </w:rPr>
        <w:t>vent</w:t>
      </w:r>
      <w:r w:rsidRPr="001D390A">
        <w:rPr>
          <w:sz w:val="22"/>
          <w:szCs w:val="22"/>
        </w:rPr>
        <w:t xml:space="preserve"> donc pouvoir cho</w:t>
      </w:r>
      <w:r>
        <w:rPr>
          <w:sz w:val="22"/>
          <w:szCs w:val="22"/>
        </w:rPr>
        <w:t xml:space="preserve">isir entre le travail sur site </w:t>
      </w:r>
      <w:r w:rsidRPr="001D390A">
        <w:rPr>
          <w:sz w:val="22"/>
          <w:szCs w:val="22"/>
        </w:rPr>
        <w:t xml:space="preserve">ou </w:t>
      </w:r>
      <w:r>
        <w:rPr>
          <w:sz w:val="22"/>
          <w:szCs w:val="22"/>
        </w:rPr>
        <w:t>le télétravail !</w:t>
      </w:r>
    </w:p>
    <w:p w:rsidR="001D390A" w:rsidRDefault="001D390A" w:rsidP="001D390A">
      <w:pPr>
        <w:tabs>
          <w:tab w:val="center" w:pos="4448"/>
          <w:tab w:val="right" w:pos="8896"/>
        </w:tabs>
        <w:ind w:left="-709" w:right="284"/>
        <w:jc w:val="both"/>
        <w:rPr>
          <w:sz w:val="22"/>
          <w:szCs w:val="22"/>
        </w:rPr>
      </w:pPr>
    </w:p>
    <w:p w:rsidR="001D390A" w:rsidRDefault="003B2926" w:rsidP="00686B53">
      <w:pPr>
        <w:tabs>
          <w:tab w:val="center" w:pos="4448"/>
          <w:tab w:val="right" w:pos="8896"/>
        </w:tabs>
        <w:ind w:left="-709" w:right="284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4231984" cy="31242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7840" cy="3128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B53" w:rsidRDefault="00686B53" w:rsidP="00686B53">
      <w:pPr>
        <w:tabs>
          <w:tab w:val="center" w:pos="4448"/>
          <w:tab w:val="right" w:pos="8896"/>
        </w:tabs>
        <w:ind w:left="-709" w:right="284"/>
        <w:jc w:val="center"/>
        <w:rPr>
          <w:sz w:val="22"/>
          <w:szCs w:val="22"/>
        </w:rPr>
      </w:pPr>
    </w:p>
    <w:p w:rsidR="001D390A" w:rsidRPr="0069603B" w:rsidRDefault="001D390A" w:rsidP="001D390A">
      <w:pPr>
        <w:tabs>
          <w:tab w:val="center" w:pos="4448"/>
          <w:tab w:val="right" w:pos="8896"/>
        </w:tabs>
        <w:ind w:left="-709" w:right="284"/>
        <w:jc w:val="both"/>
        <w:rPr>
          <w:b/>
          <w:color w:val="FF0000"/>
          <w:sz w:val="22"/>
          <w:szCs w:val="22"/>
          <w:u w:val="single"/>
        </w:rPr>
      </w:pPr>
      <w:r w:rsidRPr="0069603B">
        <w:rPr>
          <w:b/>
          <w:color w:val="FF0000"/>
          <w:sz w:val="22"/>
          <w:szCs w:val="22"/>
          <w:u w:val="single"/>
        </w:rPr>
        <w:t>La résolution 2020/84 des 27 et 28 Août 2020 votée en CSE DOGNE devrait pouvoir s’appliquer, à savoir:</w:t>
      </w:r>
    </w:p>
    <w:p w:rsidR="001D390A" w:rsidRPr="001D390A" w:rsidRDefault="001D390A" w:rsidP="001D390A">
      <w:pPr>
        <w:tabs>
          <w:tab w:val="center" w:pos="4448"/>
          <w:tab w:val="right" w:pos="8896"/>
        </w:tabs>
        <w:ind w:left="-709" w:right="284"/>
        <w:jc w:val="both"/>
        <w:rPr>
          <w:sz w:val="22"/>
          <w:szCs w:val="22"/>
        </w:rPr>
      </w:pPr>
    </w:p>
    <w:p w:rsidR="001D390A" w:rsidRDefault="001D390A" w:rsidP="001D390A">
      <w:pPr>
        <w:tabs>
          <w:tab w:val="center" w:pos="4448"/>
          <w:tab w:val="right" w:pos="8896"/>
        </w:tabs>
        <w:ind w:left="-709" w:righ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        </w:t>
      </w:r>
      <w:r w:rsidRPr="001D390A">
        <w:rPr>
          <w:sz w:val="22"/>
          <w:szCs w:val="22"/>
        </w:rPr>
        <w:t xml:space="preserve">Possibilité de </w:t>
      </w:r>
      <w:proofErr w:type="spellStart"/>
      <w:r w:rsidRPr="001D390A">
        <w:rPr>
          <w:sz w:val="22"/>
          <w:szCs w:val="22"/>
        </w:rPr>
        <w:t>télétravail</w:t>
      </w:r>
      <w:r>
        <w:rPr>
          <w:sz w:val="22"/>
          <w:szCs w:val="22"/>
        </w:rPr>
        <w:t>ler</w:t>
      </w:r>
      <w:proofErr w:type="spellEnd"/>
      <w:r w:rsidRPr="001D390A">
        <w:rPr>
          <w:sz w:val="22"/>
          <w:szCs w:val="22"/>
        </w:rPr>
        <w:t xml:space="preserve"> 5j/5 sur la base du volontariat</w:t>
      </w:r>
      <w:r>
        <w:rPr>
          <w:sz w:val="22"/>
          <w:szCs w:val="22"/>
        </w:rPr>
        <w:t>.</w:t>
      </w:r>
    </w:p>
    <w:p w:rsidR="001D390A" w:rsidRDefault="001D390A" w:rsidP="001D390A">
      <w:pPr>
        <w:tabs>
          <w:tab w:val="center" w:pos="4448"/>
          <w:tab w:val="right" w:pos="8896"/>
        </w:tabs>
        <w:ind w:left="-709" w:righ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       </w:t>
      </w:r>
      <w:r w:rsidR="00D449AA">
        <w:rPr>
          <w:sz w:val="22"/>
          <w:szCs w:val="22"/>
        </w:rPr>
        <w:t xml:space="preserve">  </w:t>
      </w:r>
      <w:r w:rsidRPr="001D390A">
        <w:rPr>
          <w:sz w:val="22"/>
          <w:szCs w:val="22"/>
        </w:rPr>
        <w:t>Pause</w:t>
      </w:r>
      <w:r w:rsidR="00D449AA">
        <w:rPr>
          <w:sz w:val="22"/>
          <w:szCs w:val="22"/>
        </w:rPr>
        <w:t>s</w:t>
      </w:r>
      <w:r w:rsidRPr="001D390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 w:rsidRPr="001D390A">
        <w:rPr>
          <w:sz w:val="22"/>
          <w:szCs w:val="22"/>
        </w:rPr>
        <w:t>10 m</w:t>
      </w:r>
      <w:r>
        <w:rPr>
          <w:sz w:val="22"/>
          <w:szCs w:val="22"/>
        </w:rPr>
        <w:t>inutes par heure</w:t>
      </w:r>
      <w:r w:rsidRPr="001D390A">
        <w:rPr>
          <w:sz w:val="22"/>
          <w:szCs w:val="22"/>
        </w:rPr>
        <w:t xml:space="preserve"> (vivement recommandé</w:t>
      </w:r>
      <w:r>
        <w:rPr>
          <w:sz w:val="22"/>
          <w:szCs w:val="22"/>
        </w:rPr>
        <w:t>e</w:t>
      </w:r>
      <w:r w:rsidR="00D449AA">
        <w:rPr>
          <w:sz w:val="22"/>
          <w:szCs w:val="22"/>
        </w:rPr>
        <w:t>s</w:t>
      </w:r>
      <w:r w:rsidRPr="001D390A">
        <w:rPr>
          <w:sz w:val="22"/>
          <w:szCs w:val="22"/>
        </w:rPr>
        <w:t xml:space="preserve"> par l</w:t>
      </w:r>
      <w:r>
        <w:rPr>
          <w:sz w:val="22"/>
          <w:szCs w:val="22"/>
        </w:rPr>
        <w:t>a</w:t>
      </w:r>
      <w:r w:rsidRPr="001D390A">
        <w:rPr>
          <w:sz w:val="22"/>
          <w:szCs w:val="22"/>
        </w:rPr>
        <w:t xml:space="preserve"> médecin</w:t>
      </w:r>
      <w:r>
        <w:rPr>
          <w:sz w:val="22"/>
          <w:szCs w:val="22"/>
        </w:rPr>
        <w:t>e</w:t>
      </w:r>
      <w:r w:rsidRPr="001D390A">
        <w:rPr>
          <w:sz w:val="22"/>
          <w:szCs w:val="22"/>
        </w:rPr>
        <w:t xml:space="preserve"> du travail) et allégement de la durée du temps de travail</w:t>
      </w:r>
      <w:r>
        <w:rPr>
          <w:sz w:val="22"/>
          <w:szCs w:val="22"/>
        </w:rPr>
        <w:t xml:space="preserve">. </w:t>
      </w:r>
    </w:p>
    <w:p w:rsidR="001D390A" w:rsidRPr="001D390A" w:rsidRDefault="001D390A" w:rsidP="001D390A">
      <w:pPr>
        <w:tabs>
          <w:tab w:val="center" w:pos="142"/>
          <w:tab w:val="right" w:pos="8896"/>
        </w:tabs>
        <w:ind w:left="-709" w:righ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         </w:t>
      </w:r>
      <w:r>
        <w:rPr>
          <w:sz w:val="22"/>
          <w:szCs w:val="22"/>
        </w:rPr>
        <w:tab/>
        <w:t xml:space="preserve">Plus </w:t>
      </w:r>
      <w:r w:rsidRPr="001D390A">
        <w:rPr>
          <w:sz w:val="22"/>
          <w:szCs w:val="22"/>
        </w:rPr>
        <w:t>de souplesse dans les pauses méridiennes pour faciliter l’accès à la restauration collective</w:t>
      </w:r>
      <w:r>
        <w:rPr>
          <w:sz w:val="22"/>
          <w:szCs w:val="22"/>
        </w:rPr>
        <w:t>.</w:t>
      </w:r>
    </w:p>
    <w:p w:rsidR="001D390A" w:rsidRPr="001D390A" w:rsidRDefault="001D390A" w:rsidP="001D390A">
      <w:pPr>
        <w:tabs>
          <w:tab w:val="center" w:pos="4448"/>
          <w:tab w:val="right" w:pos="8896"/>
        </w:tabs>
        <w:ind w:left="-709" w:right="284"/>
        <w:jc w:val="both"/>
        <w:rPr>
          <w:sz w:val="22"/>
          <w:szCs w:val="22"/>
        </w:rPr>
      </w:pPr>
    </w:p>
    <w:p w:rsidR="001D390A" w:rsidRDefault="001D390A" w:rsidP="001D390A">
      <w:pPr>
        <w:tabs>
          <w:tab w:val="center" w:pos="4448"/>
          <w:tab w:val="right" w:pos="8896"/>
        </w:tabs>
        <w:ind w:left="-709" w:right="284"/>
        <w:jc w:val="both"/>
        <w:rPr>
          <w:sz w:val="22"/>
          <w:szCs w:val="22"/>
        </w:rPr>
      </w:pPr>
      <w:r>
        <w:rPr>
          <w:sz w:val="22"/>
          <w:szCs w:val="22"/>
        </w:rPr>
        <w:t>Cela</w:t>
      </w:r>
      <w:r w:rsidRPr="001D390A">
        <w:rPr>
          <w:sz w:val="22"/>
          <w:szCs w:val="22"/>
        </w:rPr>
        <w:t xml:space="preserve"> permettrait d’éviter </w:t>
      </w:r>
      <w:r w:rsidR="00D449AA">
        <w:rPr>
          <w:sz w:val="22"/>
          <w:szCs w:val="22"/>
        </w:rPr>
        <w:t>d’é</w:t>
      </w:r>
      <w:r w:rsidRPr="001D390A">
        <w:rPr>
          <w:sz w:val="22"/>
          <w:szCs w:val="22"/>
        </w:rPr>
        <w:t>ventuels conflits, d’alléger les effe</w:t>
      </w:r>
      <w:r>
        <w:rPr>
          <w:sz w:val="22"/>
          <w:szCs w:val="22"/>
        </w:rPr>
        <w:t xml:space="preserve">ctifs sur site et de permettre </w:t>
      </w:r>
      <w:r w:rsidRPr="001D390A">
        <w:rPr>
          <w:sz w:val="22"/>
          <w:szCs w:val="22"/>
        </w:rPr>
        <w:t>d’assurer une meilleure distanciation</w:t>
      </w:r>
      <w:r w:rsidR="00D449AA">
        <w:rPr>
          <w:sz w:val="22"/>
          <w:szCs w:val="22"/>
        </w:rPr>
        <w:t xml:space="preserve"> sociale</w:t>
      </w:r>
      <w:r>
        <w:rPr>
          <w:sz w:val="22"/>
          <w:szCs w:val="22"/>
        </w:rPr>
        <w:t>. Cela permettrait également</w:t>
      </w:r>
      <w:r w:rsidRPr="001D390A">
        <w:rPr>
          <w:sz w:val="22"/>
          <w:szCs w:val="22"/>
        </w:rPr>
        <w:t xml:space="preserve"> de ne pas imposer le télétravail aux salariés </w:t>
      </w:r>
      <w:r w:rsidR="00D449AA">
        <w:rPr>
          <w:sz w:val="22"/>
          <w:szCs w:val="22"/>
        </w:rPr>
        <w:t>qui ne le désirent pas</w:t>
      </w:r>
      <w:r w:rsidRPr="001D390A">
        <w:rPr>
          <w:sz w:val="22"/>
          <w:szCs w:val="22"/>
        </w:rPr>
        <w:t xml:space="preserve"> et de rester cohérent avec les mesures sanitaires préconisées par le protocole national</w:t>
      </w:r>
      <w:r>
        <w:rPr>
          <w:sz w:val="22"/>
          <w:szCs w:val="22"/>
        </w:rPr>
        <w:t>.</w:t>
      </w:r>
    </w:p>
    <w:p w:rsidR="001D390A" w:rsidRPr="001D390A" w:rsidRDefault="001D390A" w:rsidP="001D390A">
      <w:pPr>
        <w:tabs>
          <w:tab w:val="center" w:pos="4448"/>
          <w:tab w:val="right" w:pos="8896"/>
        </w:tabs>
        <w:ind w:left="-709" w:right="284"/>
        <w:jc w:val="both"/>
        <w:rPr>
          <w:sz w:val="22"/>
          <w:szCs w:val="22"/>
        </w:rPr>
      </w:pPr>
    </w:p>
    <w:p w:rsidR="00154210" w:rsidRDefault="001D390A" w:rsidP="001D390A">
      <w:pPr>
        <w:tabs>
          <w:tab w:val="center" w:pos="4448"/>
          <w:tab w:val="right" w:pos="8896"/>
        </w:tabs>
        <w:ind w:left="-709" w:right="284"/>
        <w:jc w:val="both"/>
        <w:rPr>
          <w:sz w:val="22"/>
          <w:szCs w:val="22"/>
        </w:rPr>
      </w:pPr>
      <w:r w:rsidRPr="001D390A">
        <w:rPr>
          <w:sz w:val="22"/>
          <w:szCs w:val="22"/>
        </w:rPr>
        <w:t>D’autre part, l’accord</w:t>
      </w:r>
      <w:r>
        <w:rPr>
          <w:sz w:val="22"/>
          <w:szCs w:val="22"/>
        </w:rPr>
        <w:t xml:space="preserve"> télétravail</w:t>
      </w:r>
      <w:r w:rsidRPr="001D390A">
        <w:rPr>
          <w:sz w:val="22"/>
          <w:szCs w:val="22"/>
        </w:rPr>
        <w:t xml:space="preserve"> actuel est toujours e</w:t>
      </w:r>
      <w:r>
        <w:rPr>
          <w:sz w:val="22"/>
          <w:szCs w:val="22"/>
        </w:rPr>
        <w:t>n vigueur et doit être appliqué !</w:t>
      </w:r>
      <w:r w:rsidRPr="001D390A">
        <w:rPr>
          <w:sz w:val="22"/>
          <w:szCs w:val="22"/>
        </w:rPr>
        <w:t xml:space="preserve"> En ne répondant pas aux nouvelles demandes de télétravail réguliers, l’entreprise crée une discrimination salariale puisque les salariés en télétravail «</w:t>
      </w:r>
      <w:r w:rsidR="00D449AA">
        <w:rPr>
          <w:sz w:val="22"/>
          <w:szCs w:val="22"/>
        </w:rPr>
        <w:t xml:space="preserve"> </w:t>
      </w:r>
      <w:r w:rsidRPr="001D390A">
        <w:rPr>
          <w:sz w:val="22"/>
          <w:szCs w:val="22"/>
        </w:rPr>
        <w:t>élar</w:t>
      </w:r>
      <w:r>
        <w:rPr>
          <w:sz w:val="22"/>
          <w:szCs w:val="22"/>
        </w:rPr>
        <w:t>gi</w:t>
      </w:r>
      <w:r w:rsidR="00D449AA">
        <w:rPr>
          <w:sz w:val="22"/>
          <w:szCs w:val="22"/>
        </w:rPr>
        <w:t> »</w:t>
      </w:r>
      <w:r w:rsidRPr="001D390A">
        <w:rPr>
          <w:sz w:val="22"/>
          <w:szCs w:val="22"/>
        </w:rPr>
        <w:t xml:space="preserve"> ne bénéficient ni de la prime d’indemnité télétravail, ni des titres restaurants, ni du confort de travail dû par l’employeur (é</w:t>
      </w:r>
      <w:r w:rsidR="00154210">
        <w:rPr>
          <w:sz w:val="22"/>
          <w:szCs w:val="22"/>
        </w:rPr>
        <w:t>crans, fauteuil</w:t>
      </w:r>
      <w:r w:rsidR="00D449AA">
        <w:rPr>
          <w:sz w:val="22"/>
          <w:szCs w:val="22"/>
        </w:rPr>
        <w:t>,</w:t>
      </w:r>
      <w:r w:rsidR="00154210">
        <w:rPr>
          <w:sz w:val="22"/>
          <w:szCs w:val="22"/>
        </w:rPr>
        <w:t xml:space="preserve"> etc</w:t>
      </w:r>
      <w:r w:rsidR="00D449AA">
        <w:rPr>
          <w:sz w:val="22"/>
          <w:szCs w:val="22"/>
        </w:rPr>
        <w:t>.</w:t>
      </w:r>
      <w:r w:rsidR="00154210">
        <w:rPr>
          <w:sz w:val="22"/>
          <w:szCs w:val="22"/>
        </w:rPr>
        <w:t xml:space="preserve">). </w:t>
      </w:r>
    </w:p>
    <w:p w:rsidR="00154210" w:rsidRDefault="00154210" w:rsidP="001D390A">
      <w:pPr>
        <w:tabs>
          <w:tab w:val="center" w:pos="4448"/>
          <w:tab w:val="right" w:pos="8896"/>
        </w:tabs>
        <w:ind w:left="-709" w:right="284"/>
        <w:jc w:val="both"/>
        <w:rPr>
          <w:sz w:val="22"/>
          <w:szCs w:val="22"/>
        </w:rPr>
      </w:pPr>
    </w:p>
    <w:p w:rsidR="00D449AA" w:rsidRDefault="00154210" w:rsidP="001D390A">
      <w:pPr>
        <w:tabs>
          <w:tab w:val="center" w:pos="4448"/>
          <w:tab w:val="right" w:pos="8896"/>
        </w:tabs>
        <w:ind w:left="-709" w:right="284"/>
        <w:jc w:val="both"/>
        <w:rPr>
          <w:sz w:val="22"/>
          <w:szCs w:val="22"/>
        </w:rPr>
      </w:pPr>
      <w:r>
        <w:rPr>
          <w:sz w:val="22"/>
          <w:szCs w:val="22"/>
        </w:rPr>
        <w:t>Dès lors, se pose la question suivante</w:t>
      </w:r>
      <w:r w:rsidR="00D449AA">
        <w:rPr>
          <w:sz w:val="22"/>
          <w:szCs w:val="22"/>
        </w:rPr>
        <w:t> :</w:t>
      </w:r>
    </w:p>
    <w:p w:rsidR="00D449AA" w:rsidRDefault="00D449AA" w:rsidP="001D390A">
      <w:pPr>
        <w:tabs>
          <w:tab w:val="center" w:pos="4448"/>
          <w:tab w:val="right" w:pos="8896"/>
        </w:tabs>
        <w:ind w:left="-709" w:right="284"/>
        <w:jc w:val="both"/>
        <w:rPr>
          <w:sz w:val="22"/>
          <w:szCs w:val="22"/>
        </w:rPr>
      </w:pPr>
    </w:p>
    <w:p w:rsidR="001D390A" w:rsidRPr="00936B1F" w:rsidRDefault="00154210" w:rsidP="00D449AA">
      <w:pPr>
        <w:tabs>
          <w:tab w:val="center" w:pos="4448"/>
          <w:tab w:val="right" w:pos="8896"/>
        </w:tabs>
        <w:ind w:left="-709" w:right="284"/>
        <w:jc w:val="center"/>
        <w:rPr>
          <w:b/>
          <w:sz w:val="28"/>
          <w:szCs w:val="28"/>
          <w:u w:val="single"/>
        </w:rPr>
      </w:pPr>
      <w:r w:rsidRPr="00936B1F">
        <w:rPr>
          <w:b/>
          <w:sz w:val="28"/>
          <w:szCs w:val="28"/>
          <w:u w:val="single"/>
        </w:rPr>
        <w:t xml:space="preserve">Orange cherche-t-elle  encore à faire des </w:t>
      </w:r>
      <w:r w:rsidR="001D390A" w:rsidRPr="00936B1F">
        <w:rPr>
          <w:b/>
          <w:sz w:val="28"/>
          <w:szCs w:val="28"/>
          <w:u w:val="single"/>
        </w:rPr>
        <w:t xml:space="preserve"> économies sur le dos de </w:t>
      </w:r>
      <w:r w:rsidRPr="00936B1F">
        <w:rPr>
          <w:b/>
          <w:sz w:val="28"/>
          <w:szCs w:val="28"/>
          <w:u w:val="single"/>
        </w:rPr>
        <w:t>son personnel</w:t>
      </w:r>
      <w:r w:rsidR="00D449AA" w:rsidRPr="00936B1F">
        <w:rPr>
          <w:b/>
          <w:sz w:val="28"/>
          <w:szCs w:val="28"/>
          <w:u w:val="single"/>
        </w:rPr>
        <w:t xml:space="preserve"> </w:t>
      </w:r>
      <w:r w:rsidR="001D390A" w:rsidRPr="00936B1F">
        <w:rPr>
          <w:b/>
          <w:sz w:val="28"/>
          <w:szCs w:val="28"/>
          <w:u w:val="single"/>
        </w:rPr>
        <w:t>?</w:t>
      </w:r>
      <w:r w:rsidR="00D449AA" w:rsidRPr="00936B1F">
        <w:rPr>
          <w:b/>
          <w:sz w:val="28"/>
          <w:szCs w:val="28"/>
          <w:u w:val="single"/>
        </w:rPr>
        <w:t>!</w:t>
      </w:r>
    </w:p>
    <w:p w:rsidR="00D449AA" w:rsidRDefault="00D449AA" w:rsidP="00D449AA">
      <w:pPr>
        <w:tabs>
          <w:tab w:val="center" w:pos="4448"/>
          <w:tab w:val="right" w:pos="8896"/>
        </w:tabs>
        <w:ind w:left="-709" w:right="284"/>
        <w:jc w:val="center"/>
        <w:rPr>
          <w:b/>
          <w:sz w:val="28"/>
          <w:szCs w:val="28"/>
          <w:u w:val="single"/>
        </w:rPr>
      </w:pPr>
    </w:p>
    <w:p w:rsidR="00D449AA" w:rsidRPr="00D449AA" w:rsidRDefault="00686B53" w:rsidP="00D449AA">
      <w:pPr>
        <w:tabs>
          <w:tab w:val="center" w:pos="4448"/>
          <w:tab w:val="right" w:pos="8896"/>
        </w:tabs>
        <w:ind w:left="-709" w:right="284"/>
        <w:jc w:val="center"/>
        <w:rPr>
          <w:sz w:val="28"/>
          <w:szCs w:val="28"/>
        </w:rPr>
      </w:pPr>
      <w:r>
        <w:rPr>
          <w:rFonts w:ascii="Arial" w:hAnsi="Arial" w:cs="Arial"/>
          <w:b/>
          <w:i/>
          <w:noProof/>
          <w:sz w:val="36"/>
          <w:szCs w:val="36"/>
        </w:rPr>
        <w:drawing>
          <wp:inline distT="0" distB="0" distL="0" distR="0">
            <wp:extent cx="4540195" cy="2379484"/>
            <wp:effectExtent l="0" t="0" r="0" b="0"/>
            <wp:docPr id="5" name="Image 5" descr="plusjamais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lusjamaisc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627" cy="237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49AA" w:rsidRPr="00D449AA" w:rsidSect="00E24403">
      <w:pgSz w:w="11906" w:h="16838"/>
      <w:pgMar w:top="284" w:right="566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9E2"/>
    <w:rsid w:val="00063A40"/>
    <w:rsid w:val="00154210"/>
    <w:rsid w:val="001D390A"/>
    <w:rsid w:val="00263799"/>
    <w:rsid w:val="003B2926"/>
    <w:rsid w:val="005D053A"/>
    <w:rsid w:val="00616881"/>
    <w:rsid w:val="00686B53"/>
    <w:rsid w:val="0069603B"/>
    <w:rsid w:val="006E4FD4"/>
    <w:rsid w:val="00936B1F"/>
    <w:rsid w:val="00A27B68"/>
    <w:rsid w:val="00A8508D"/>
    <w:rsid w:val="00BF5B06"/>
    <w:rsid w:val="00D449AA"/>
    <w:rsid w:val="00D609E2"/>
    <w:rsid w:val="00D925B9"/>
    <w:rsid w:val="00DF48A0"/>
    <w:rsid w:val="00E24403"/>
    <w:rsid w:val="00EC14E9"/>
    <w:rsid w:val="00F1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28FE25-F365-4438-BA40-726247040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9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609E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09E2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564BB-9C53-458B-B88D-A6810B322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776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ORANGE FT Group</Company>
  <LinksUpToDate>false</LinksUpToDate>
  <CharactersWithSpaces>5037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PILARCZYK Florian UI AL</dc:creator>
  <cp:lastModifiedBy>LONDOT Thierry UAT NE</cp:lastModifiedBy>
  <cp:revision>4</cp:revision>
  <dcterms:created xsi:type="dcterms:W3CDTF">2020-10-02T13:29:00Z</dcterms:created>
  <dcterms:modified xsi:type="dcterms:W3CDTF">2020-10-07T13:02:00Z</dcterms:modified>
</cp:coreProperties>
</file>