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F5" w:rsidRPr="00791C62" w:rsidRDefault="008C67F5" w:rsidP="009D0109">
      <w:pPr>
        <w:tabs>
          <w:tab w:val="left" w:pos="2565"/>
        </w:tabs>
        <w:rPr>
          <w:rFonts w:cstheme="minorHAnsi"/>
          <w:b/>
          <w:sz w:val="20"/>
          <w:szCs w:val="20"/>
          <w:u w:val="single"/>
        </w:rPr>
      </w:pPr>
      <w:bookmarkStart w:id="0" w:name="_GoBack"/>
      <w:bookmarkEnd w:id="0"/>
      <w:r w:rsidRPr="00791C62">
        <w:rPr>
          <w:rFonts w:cstheme="minorHAnsi"/>
          <w:b/>
          <w:sz w:val="20"/>
          <w:szCs w:val="20"/>
          <w:u w:val="single"/>
        </w:rPr>
        <w:t>Point 13 – Résolution 2020-34 – ‘’Tout en Un’’</w:t>
      </w:r>
    </w:p>
    <w:p w:rsidR="009D0109" w:rsidRPr="00791C62" w:rsidRDefault="00791C62" w:rsidP="009D0109">
      <w:pPr>
        <w:tabs>
          <w:tab w:val="left" w:pos="256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Pour la CGT, l</w:t>
      </w:r>
      <w:r w:rsidR="009D0109" w:rsidRPr="00791C62">
        <w:rPr>
          <w:rFonts w:cstheme="minorHAnsi"/>
          <w:sz w:val="20"/>
          <w:szCs w:val="20"/>
        </w:rPr>
        <w:t>es A</w:t>
      </w:r>
      <w:r w:rsidR="00D71EA1" w:rsidRPr="00791C62">
        <w:rPr>
          <w:rFonts w:cstheme="minorHAnsi"/>
          <w:sz w:val="20"/>
          <w:szCs w:val="20"/>
        </w:rPr>
        <w:t xml:space="preserve">ctivités </w:t>
      </w:r>
      <w:r w:rsidR="009D0109" w:rsidRPr="00791C62">
        <w:rPr>
          <w:rFonts w:cstheme="minorHAnsi"/>
          <w:sz w:val="20"/>
          <w:szCs w:val="20"/>
        </w:rPr>
        <w:t>S</w:t>
      </w:r>
      <w:r w:rsidR="00D71EA1" w:rsidRPr="00791C62">
        <w:rPr>
          <w:rFonts w:cstheme="minorHAnsi"/>
          <w:sz w:val="20"/>
          <w:szCs w:val="20"/>
        </w:rPr>
        <w:t xml:space="preserve">ociales et Culturelles </w:t>
      </w:r>
      <w:r w:rsidR="007F1B59" w:rsidRPr="00791C62">
        <w:rPr>
          <w:rFonts w:cstheme="minorHAnsi"/>
          <w:sz w:val="20"/>
          <w:szCs w:val="20"/>
        </w:rPr>
        <w:t xml:space="preserve">ne doivent avoir </w:t>
      </w:r>
      <w:r w:rsidR="00BF0863" w:rsidRPr="00791C62">
        <w:rPr>
          <w:rFonts w:cstheme="minorHAnsi"/>
          <w:sz w:val="20"/>
          <w:szCs w:val="20"/>
        </w:rPr>
        <w:t>qu’un</w:t>
      </w:r>
      <w:r w:rsidR="007F1B59" w:rsidRPr="00791C62">
        <w:rPr>
          <w:rFonts w:cstheme="minorHAnsi"/>
          <w:sz w:val="20"/>
          <w:szCs w:val="20"/>
        </w:rPr>
        <w:t xml:space="preserve"> seul but</w:t>
      </w:r>
      <w:r w:rsidR="00BF0863" w:rsidRPr="00791C62">
        <w:rPr>
          <w:rFonts w:cstheme="minorHAnsi"/>
          <w:sz w:val="20"/>
          <w:szCs w:val="20"/>
        </w:rPr>
        <w:t>, celui d’améliorer les conditions de vie, de travail et d’emploi au sein de l’entreprise, participer au bien-être et à l’émancipation</w:t>
      </w:r>
      <w:r w:rsidR="008F0EFD" w:rsidRPr="00791C62">
        <w:rPr>
          <w:rFonts w:cstheme="minorHAnsi"/>
          <w:sz w:val="20"/>
          <w:szCs w:val="20"/>
        </w:rPr>
        <w:t xml:space="preserve"> des salariés, </w:t>
      </w:r>
      <w:r w:rsidR="00BF0863" w:rsidRPr="00791C62">
        <w:rPr>
          <w:rFonts w:cstheme="minorHAnsi"/>
          <w:sz w:val="20"/>
          <w:szCs w:val="20"/>
        </w:rPr>
        <w:t>assurer</w:t>
      </w:r>
      <w:r w:rsidR="007F1B59" w:rsidRPr="00791C62">
        <w:rPr>
          <w:rFonts w:cstheme="minorHAnsi"/>
          <w:sz w:val="20"/>
          <w:szCs w:val="20"/>
        </w:rPr>
        <w:t xml:space="preserve"> </w:t>
      </w:r>
      <w:r w:rsidR="009D0109" w:rsidRPr="00791C62">
        <w:rPr>
          <w:rFonts w:cstheme="minorHAnsi"/>
          <w:sz w:val="20"/>
          <w:szCs w:val="20"/>
        </w:rPr>
        <w:t xml:space="preserve">un rôle social à destination des </w:t>
      </w:r>
      <w:r w:rsidR="00BF0863" w:rsidRPr="00791C62">
        <w:rPr>
          <w:rFonts w:cstheme="minorHAnsi"/>
          <w:sz w:val="20"/>
          <w:szCs w:val="20"/>
        </w:rPr>
        <w:t>ouvrant-droits</w:t>
      </w:r>
      <w:r w:rsidR="009D0109" w:rsidRPr="00791C62">
        <w:rPr>
          <w:rFonts w:cstheme="minorHAnsi"/>
          <w:sz w:val="20"/>
          <w:szCs w:val="20"/>
        </w:rPr>
        <w:t xml:space="preserve">, </w:t>
      </w:r>
      <w:r w:rsidR="00BF0863" w:rsidRPr="00791C62">
        <w:rPr>
          <w:rFonts w:cstheme="minorHAnsi"/>
          <w:sz w:val="20"/>
          <w:szCs w:val="20"/>
        </w:rPr>
        <w:t xml:space="preserve">de </w:t>
      </w:r>
      <w:r w:rsidR="009D0109" w:rsidRPr="00791C62">
        <w:rPr>
          <w:rFonts w:cstheme="minorHAnsi"/>
          <w:sz w:val="20"/>
          <w:szCs w:val="20"/>
        </w:rPr>
        <w:t>le</w:t>
      </w:r>
      <w:r w:rsidR="007F1B59" w:rsidRPr="00791C62">
        <w:rPr>
          <w:rFonts w:cstheme="minorHAnsi"/>
          <w:sz w:val="20"/>
          <w:szCs w:val="20"/>
        </w:rPr>
        <w:t xml:space="preserve">urs enfants et </w:t>
      </w:r>
      <w:r w:rsidR="008F0EFD" w:rsidRPr="00791C62">
        <w:rPr>
          <w:rFonts w:cstheme="minorHAnsi"/>
          <w:sz w:val="20"/>
          <w:szCs w:val="20"/>
        </w:rPr>
        <w:t xml:space="preserve">conjoint et faire du droit aux vacances, un </w:t>
      </w:r>
      <w:r w:rsidR="009D0109" w:rsidRPr="00791C62">
        <w:rPr>
          <w:rFonts w:cstheme="minorHAnsi"/>
          <w:sz w:val="20"/>
          <w:szCs w:val="20"/>
        </w:rPr>
        <w:t>droit au même titre que le droit du travail, à la santé, au logement</w:t>
      </w:r>
      <w:r w:rsidR="007F1B59" w:rsidRPr="00791C62">
        <w:rPr>
          <w:rFonts w:cstheme="minorHAnsi"/>
          <w:sz w:val="20"/>
          <w:szCs w:val="20"/>
        </w:rPr>
        <w:t>.</w:t>
      </w:r>
    </w:p>
    <w:p w:rsidR="008F7F8C" w:rsidRPr="00791C62" w:rsidRDefault="008F7F8C" w:rsidP="008F7F8C">
      <w:pPr>
        <w:rPr>
          <w:rFonts w:cs="Arial"/>
          <w:sz w:val="20"/>
          <w:szCs w:val="20"/>
        </w:rPr>
      </w:pPr>
      <w:r w:rsidRPr="00791C62">
        <w:rPr>
          <w:rFonts w:cs="Arial"/>
          <w:sz w:val="20"/>
          <w:szCs w:val="20"/>
        </w:rPr>
        <w:t xml:space="preserve">L’accès gratuit à l’éducation, à la santé, entre autres  sont des principes à lesquelles </w:t>
      </w:r>
      <w:r w:rsidR="00791C62">
        <w:rPr>
          <w:rFonts w:cs="Arial"/>
          <w:sz w:val="20"/>
          <w:szCs w:val="20"/>
        </w:rPr>
        <w:t>la CGT est attachée</w:t>
      </w:r>
      <w:r w:rsidRPr="00791C62">
        <w:rPr>
          <w:rFonts w:cs="Arial"/>
          <w:sz w:val="20"/>
          <w:szCs w:val="20"/>
        </w:rPr>
        <w:t xml:space="preserve">. </w:t>
      </w:r>
    </w:p>
    <w:p w:rsidR="009D0109" w:rsidRPr="00791C62" w:rsidRDefault="009D0109" w:rsidP="009D0109">
      <w:pPr>
        <w:tabs>
          <w:tab w:val="left" w:pos="2565"/>
        </w:tabs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 xml:space="preserve">Pour être </w:t>
      </w:r>
      <w:r w:rsidR="00C06BFD" w:rsidRPr="00791C62">
        <w:rPr>
          <w:rFonts w:cstheme="minorHAnsi"/>
          <w:sz w:val="20"/>
          <w:szCs w:val="20"/>
        </w:rPr>
        <w:t xml:space="preserve">justes, </w:t>
      </w:r>
      <w:r w:rsidRPr="00791C62">
        <w:rPr>
          <w:rFonts w:cstheme="minorHAnsi"/>
          <w:sz w:val="20"/>
          <w:szCs w:val="20"/>
        </w:rPr>
        <w:t xml:space="preserve"> les A</w:t>
      </w:r>
      <w:r w:rsidR="00D71EA1" w:rsidRPr="00791C62">
        <w:rPr>
          <w:rFonts w:cstheme="minorHAnsi"/>
          <w:sz w:val="20"/>
          <w:szCs w:val="20"/>
        </w:rPr>
        <w:t xml:space="preserve">ctivités </w:t>
      </w:r>
      <w:r w:rsidRPr="00791C62">
        <w:rPr>
          <w:rFonts w:cstheme="minorHAnsi"/>
          <w:sz w:val="20"/>
          <w:szCs w:val="20"/>
        </w:rPr>
        <w:t>S</w:t>
      </w:r>
      <w:r w:rsidR="00D71EA1" w:rsidRPr="00791C62">
        <w:rPr>
          <w:rFonts w:cstheme="minorHAnsi"/>
          <w:sz w:val="20"/>
          <w:szCs w:val="20"/>
        </w:rPr>
        <w:t xml:space="preserve">ociales et </w:t>
      </w:r>
      <w:r w:rsidRPr="00791C62">
        <w:rPr>
          <w:rFonts w:cstheme="minorHAnsi"/>
          <w:sz w:val="20"/>
          <w:szCs w:val="20"/>
        </w:rPr>
        <w:t>C</w:t>
      </w:r>
      <w:r w:rsidR="00D71EA1" w:rsidRPr="00791C62">
        <w:rPr>
          <w:rFonts w:cstheme="minorHAnsi"/>
          <w:sz w:val="20"/>
          <w:szCs w:val="20"/>
        </w:rPr>
        <w:t>ulturelles</w:t>
      </w:r>
      <w:r w:rsidRPr="00791C62">
        <w:rPr>
          <w:rFonts w:cstheme="minorHAnsi"/>
          <w:sz w:val="20"/>
          <w:szCs w:val="20"/>
        </w:rPr>
        <w:t xml:space="preserve"> doivent </w:t>
      </w:r>
      <w:r w:rsidR="00C06BFD" w:rsidRPr="00791C62">
        <w:rPr>
          <w:rFonts w:cstheme="minorHAnsi"/>
          <w:sz w:val="20"/>
          <w:szCs w:val="20"/>
        </w:rPr>
        <w:t xml:space="preserve">être </w:t>
      </w:r>
      <w:r w:rsidRPr="00791C62">
        <w:rPr>
          <w:rFonts w:cstheme="minorHAnsi"/>
          <w:sz w:val="20"/>
          <w:szCs w:val="20"/>
        </w:rPr>
        <w:t xml:space="preserve">attribuées selon les QF afin de fournir des prestations en fonction des revenus des salariés et de la composition de leur famille. </w:t>
      </w:r>
    </w:p>
    <w:p w:rsidR="00046541" w:rsidRPr="00791C62" w:rsidRDefault="00046541" w:rsidP="00046541">
      <w:p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 xml:space="preserve">Les Activités Sociales et Culturelles, comme son nom l’indique, doivent notamment : </w:t>
      </w:r>
    </w:p>
    <w:p w:rsidR="00046541" w:rsidRPr="00791C62" w:rsidRDefault="00046541" w:rsidP="00046541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Donner  l’accès pour tous à la lecture, à la musique, aux spectacles</w:t>
      </w:r>
    </w:p>
    <w:p w:rsidR="00046541" w:rsidRPr="00791C62" w:rsidRDefault="00046541" w:rsidP="00046541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Permettre l’accès pour tous aux sports</w:t>
      </w:r>
    </w:p>
    <w:p w:rsidR="00046541" w:rsidRPr="00791C62" w:rsidRDefault="00046541" w:rsidP="00046541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Aider à la garde d’enfants</w:t>
      </w:r>
    </w:p>
    <w:p w:rsidR="00046541" w:rsidRPr="00791C62" w:rsidRDefault="00046541" w:rsidP="00046541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Proposer l’accès pour tous à des vacances de qualité et diversifiées</w:t>
      </w:r>
    </w:p>
    <w:p w:rsidR="00046541" w:rsidRPr="00791C62" w:rsidRDefault="00046541" w:rsidP="00046541">
      <w:p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Le Comité Social Economique devrait être en capacité de proposer de véritables prestations de qualité :</w:t>
      </w:r>
    </w:p>
    <w:p w:rsidR="00046541" w:rsidRPr="00791C62" w:rsidRDefault="00046541" w:rsidP="00046541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En proposant une participation minimum en fonction du QF pour permettre aux Ouvrant-droits de ne pas avancer au préalable tout ou partie du montant total.</w:t>
      </w:r>
    </w:p>
    <w:p w:rsidR="00046541" w:rsidRPr="00791C62" w:rsidRDefault="00046541" w:rsidP="00046541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 xml:space="preserve">En garantissant aux bénéficiaires une égalité d’accès aux prestations en fonction des revenus, </w:t>
      </w:r>
    </w:p>
    <w:p w:rsidR="00046541" w:rsidRPr="00791C62" w:rsidRDefault="00046541" w:rsidP="00046541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En prenant en compte la composition des familles</w:t>
      </w:r>
    </w:p>
    <w:p w:rsidR="00046541" w:rsidRPr="00791C62" w:rsidRDefault="00046541" w:rsidP="00046541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En faisant en sorte que les participations des ASC soient versées directement aux prestataires ou déduites des factures à régler.</w:t>
      </w:r>
    </w:p>
    <w:p w:rsidR="00936411" w:rsidRPr="00791C62" w:rsidRDefault="009D0109">
      <w:p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Or</w:t>
      </w:r>
      <w:r w:rsidR="00C06BFD" w:rsidRPr="00791C62">
        <w:rPr>
          <w:rFonts w:cstheme="minorHAnsi"/>
          <w:sz w:val="20"/>
          <w:szCs w:val="20"/>
        </w:rPr>
        <w:t>,</w:t>
      </w:r>
      <w:r w:rsidRPr="00791C62">
        <w:rPr>
          <w:rFonts w:cstheme="minorHAnsi"/>
          <w:sz w:val="20"/>
          <w:szCs w:val="20"/>
        </w:rPr>
        <w:t xml:space="preserve"> p</w:t>
      </w:r>
      <w:r w:rsidR="0021145B" w:rsidRPr="00791C62">
        <w:rPr>
          <w:rFonts w:cstheme="minorHAnsi"/>
          <w:sz w:val="20"/>
          <w:szCs w:val="20"/>
        </w:rPr>
        <w:t>our la CGT, la</w:t>
      </w:r>
      <w:r w:rsidR="00291673" w:rsidRPr="00791C62">
        <w:rPr>
          <w:rFonts w:cstheme="minorHAnsi"/>
          <w:sz w:val="20"/>
          <w:szCs w:val="20"/>
        </w:rPr>
        <w:t xml:space="preserve"> nature </w:t>
      </w:r>
      <w:r w:rsidR="00F86B8A" w:rsidRPr="00791C62">
        <w:rPr>
          <w:rFonts w:cstheme="minorHAnsi"/>
          <w:sz w:val="20"/>
          <w:szCs w:val="20"/>
        </w:rPr>
        <w:t xml:space="preserve">même </w:t>
      </w:r>
      <w:r w:rsidR="00291673" w:rsidRPr="00791C62">
        <w:rPr>
          <w:rFonts w:cstheme="minorHAnsi"/>
          <w:sz w:val="20"/>
          <w:szCs w:val="20"/>
        </w:rPr>
        <w:t>de la</w:t>
      </w:r>
      <w:r w:rsidR="0021145B" w:rsidRPr="00791C62">
        <w:rPr>
          <w:rFonts w:cstheme="minorHAnsi"/>
          <w:sz w:val="20"/>
          <w:szCs w:val="20"/>
        </w:rPr>
        <w:t xml:space="preserve"> prestation « Tout en un »  ne correspond pas </w:t>
      </w:r>
      <w:r w:rsidR="00291673" w:rsidRPr="00791C62">
        <w:rPr>
          <w:rFonts w:cstheme="minorHAnsi"/>
          <w:sz w:val="20"/>
          <w:szCs w:val="20"/>
        </w:rPr>
        <w:t>à des Activités Sociales et Culturelles.</w:t>
      </w:r>
      <w:r w:rsidR="00D71EA1" w:rsidRPr="00791C62">
        <w:rPr>
          <w:rFonts w:cstheme="minorHAnsi"/>
          <w:sz w:val="20"/>
          <w:szCs w:val="20"/>
        </w:rPr>
        <w:t xml:space="preserve"> </w:t>
      </w:r>
      <w:r w:rsidR="00496C3B" w:rsidRPr="00791C62">
        <w:rPr>
          <w:rFonts w:cstheme="minorHAnsi"/>
          <w:sz w:val="20"/>
          <w:szCs w:val="20"/>
        </w:rPr>
        <w:t xml:space="preserve">Proposer le remboursement sur facture  à hauteur de 100% du montant total ou d’un </w:t>
      </w:r>
      <w:r w:rsidR="00622883" w:rsidRPr="00791C62">
        <w:rPr>
          <w:rFonts w:cstheme="minorHAnsi"/>
          <w:sz w:val="20"/>
          <w:szCs w:val="20"/>
        </w:rPr>
        <w:t>montant d’aide pouvant aller jusqu’à 100% pour les chèques vacances pourrait être assimilé tout simplement à un complément de salaires, sous forme de ‘’bon à tirage’’</w:t>
      </w:r>
      <w:r w:rsidR="00FE2159">
        <w:rPr>
          <w:rFonts w:cstheme="minorHAnsi"/>
          <w:sz w:val="20"/>
          <w:szCs w:val="20"/>
        </w:rPr>
        <w:t xml:space="preserve"> ou de ‘’distributeur’’</w:t>
      </w:r>
      <w:r w:rsidR="00622883" w:rsidRPr="00791C62">
        <w:rPr>
          <w:rFonts w:cstheme="minorHAnsi"/>
          <w:sz w:val="20"/>
          <w:szCs w:val="20"/>
        </w:rPr>
        <w:t>. P</w:t>
      </w:r>
      <w:r w:rsidRPr="00791C62">
        <w:rPr>
          <w:rFonts w:cstheme="minorHAnsi"/>
          <w:sz w:val="20"/>
          <w:szCs w:val="20"/>
        </w:rPr>
        <w:t>our les salaires</w:t>
      </w:r>
      <w:r w:rsidR="00C06BFD" w:rsidRPr="00791C62">
        <w:rPr>
          <w:rFonts w:cstheme="minorHAnsi"/>
          <w:sz w:val="20"/>
          <w:szCs w:val="20"/>
        </w:rPr>
        <w:t>,</w:t>
      </w:r>
      <w:r w:rsidRPr="00791C62">
        <w:rPr>
          <w:rFonts w:cstheme="minorHAnsi"/>
          <w:sz w:val="20"/>
          <w:szCs w:val="20"/>
        </w:rPr>
        <w:t xml:space="preserve"> </w:t>
      </w:r>
      <w:r w:rsidR="005115A0" w:rsidRPr="00791C62">
        <w:rPr>
          <w:rFonts w:cstheme="minorHAnsi"/>
          <w:sz w:val="20"/>
          <w:szCs w:val="20"/>
        </w:rPr>
        <w:t>il y a les Négociations Annuelles Obligatoires</w:t>
      </w:r>
      <w:r w:rsidRPr="00791C62">
        <w:rPr>
          <w:rFonts w:cstheme="minorHAnsi"/>
          <w:sz w:val="20"/>
          <w:szCs w:val="20"/>
        </w:rPr>
        <w:t>.</w:t>
      </w:r>
      <w:r w:rsidR="005115A0" w:rsidRPr="00791C62">
        <w:rPr>
          <w:rFonts w:cstheme="minorHAnsi"/>
          <w:sz w:val="20"/>
          <w:szCs w:val="20"/>
        </w:rPr>
        <w:t xml:space="preserve"> </w:t>
      </w:r>
    </w:p>
    <w:p w:rsidR="00936411" w:rsidRPr="00791C62" w:rsidRDefault="00C06BFD">
      <w:p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Les A</w:t>
      </w:r>
      <w:r w:rsidR="00F43862" w:rsidRPr="00791C62">
        <w:rPr>
          <w:rFonts w:cstheme="minorHAnsi"/>
          <w:sz w:val="20"/>
          <w:szCs w:val="20"/>
        </w:rPr>
        <w:t xml:space="preserve">ctivités </w:t>
      </w:r>
      <w:r w:rsidRPr="00791C62">
        <w:rPr>
          <w:rFonts w:cstheme="minorHAnsi"/>
          <w:sz w:val="20"/>
          <w:szCs w:val="20"/>
        </w:rPr>
        <w:t>S</w:t>
      </w:r>
      <w:r w:rsidR="00F43862" w:rsidRPr="00791C62">
        <w:rPr>
          <w:rFonts w:cstheme="minorHAnsi"/>
          <w:sz w:val="20"/>
          <w:szCs w:val="20"/>
        </w:rPr>
        <w:t xml:space="preserve">ociales et </w:t>
      </w:r>
      <w:r w:rsidRPr="00791C62">
        <w:rPr>
          <w:rFonts w:cstheme="minorHAnsi"/>
          <w:sz w:val="20"/>
          <w:szCs w:val="20"/>
        </w:rPr>
        <w:t>C</w:t>
      </w:r>
      <w:r w:rsidR="00F43862" w:rsidRPr="00791C62">
        <w:rPr>
          <w:rFonts w:cstheme="minorHAnsi"/>
          <w:sz w:val="20"/>
          <w:szCs w:val="20"/>
        </w:rPr>
        <w:t>ulturelles</w:t>
      </w:r>
      <w:r w:rsidRPr="00791C62">
        <w:rPr>
          <w:rFonts w:cstheme="minorHAnsi"/>
          <w:sz w:val="20"/>
          <w:szCs w:val="20"/>
        </w:rPr>
        <w:t xml:space="preserve"> ne doivent pas être réduites à de simples remboursements de ‘’prestations de service’’.</w:t>
      </w:r>
    </w:p>
    <w:p w:rsidR="00046541" w:rsidRPr="00791C62" w:rsidRDefault="00046541" w:rsidP="00291673">
      <w:p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 xml:space="preserve">La CGT avait prédit que la mise en place du Pack ou Panier Liberté se traduirait par une baisse des prestations, tant  terme de qualité qu’en terme de montant d’aide. </w:t>
      </w:r>
    </w:p>
    <w:p w:rsidR="00046541" w:rsidRPr="00791C62" w:rsidRDefault="00046541" w:rsidP="00291673">
      <w:p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Force est de constater que la CGT avait raison, le montant d’aide alloué est e</w:t>
      </w:r>
      <w:r w:rsidR="00FE2159">
        <w:rPr>
          <w:rFonts w:cstheme="minorHAnsi"/>
          <w:sz w:val="20"/>
          <w:szCs w:val="20"/>
        </w:rPr>
        <w:t>n décroissance d’année en année, c’est la nature même de cette prestation qui le veut.</w:t>
      </w:r>
    </w:p>
    <w:p w:rsidR="00291673" w:rsidRPr="00791C62" w:rsidRDefault="003B329C" w:rsidP="00291673">
      <w:p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>Pour finir</w:t>
      </w:r>
      <w:r w:rsidR="00662AEC" w:rsidRPr="00791C62">
        <w:rPr>
          <w:rFonts w:cstheme="minorHAnsi"/>
          <w:sz w:val="20"/>
          <w:szCs w:val="20"/>
        </w:rPr>
        <w:t>,</w:t>
      </w:r>
      <w:r w:rsidRPr="00791C62">
        <w:rPr>
          <w:rFonts w:cstheme="minorHAnsi"/>
          <w:sz w:val="20"/>
          <w:szCs w:val="20"/>
        </w:rPr>
        <w:t xml:space="preserve"> la CGT rappelle qu’Orange n</w:t>
      </w:r>
      <w:r w:rsidR="00662AEC" w:rsidRPr="00791C62">
        <w:rPr>
          <w:rFonts w:cstheme="minorHAnsi"/>
          <w:sz w:val="20"/>
          <w:szCs w:val="20"/>
        </w:rPr>
        <w:t xml:space="preserve">’assume pas ses engagements. La gestion des Chèques Emploi Service Universel doit être assurée par l’entreprise comme elle s’y était engagée dans </w:t>
      </w:r>
      <w:hyperlink r:id="rId8" w:history="1">
        <w:r w:rsidR="00662AEC" w:rsidRPr="00791C62">
          <w:rPr>
            <w:rStyle w:val="Lienhypertexte"/>
            <w:rFonts w:cstheme="minorHAnsi"/>
            <w:sz w:val="20"/>
            <w:szCs w:val="20"/>
          </w:rPr>
          <w:t>l’accord vie privée-vie professionnelle de 2010</w:t>
        </w:r>
      </w:hyperlink>
      <w:r w:rsidRPr="00791C62">
        <w:rPr>
          <w:rStyle w:val="Lienhypertexte"/>
          <w:rFonts w:cstheme="minorHAnsi"/>
          <w:sz w:val="20"/>
          <w:szCs w:val="20"/>
        </w:rPr>
        <w:t>.</w:t>
      </w:r>
    </w:p>
    <w:p w:rsidR="00662AEC" w:rsidRPr="00791C62" w:rsidRDefault="00F86B8A">
      <w:pPr>
        <w:rPr>
          <w:rFonts w:cstheme="minorHAnsi"/>
          <w:sz w:val="20"/>
          <w:szCs w:val="20"/>
        </w:rPr>
      </w:pPr>
      <w:r w:rsidRPr="00791C62">
        <w:rPr>
          <w:rFonts w:cstheme="minorHAnsi"/>
          <w:sz w:val="20"/>
          <w:szCs w:val="20"/>
        </w:rPr>
        <w:t xml:space="preserve">C’est pourquoi la CGT s’abstient sur le vote de cette résolution concernant cette prestation « Tout en un ». </w:t>
      </w:r>
      <w:r w:rsidR="00662AEC" w:rsidRPr="00791C62">
        <w:rPr>
          <w:rFonts w:cstheme="minorHAnsi"/>
          <w:sz w:val="20"/>
          <w:szCs w:val="20"/>
        </w:rPr>
        <w:t xml:space="preserve"> </w:t>
      </w:r>
    </w:p>
    <w:sectPr w:rsidR="00662AEC" w:rsidRPr="0079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E1" w:rsidRDefault="00A82CE1" w:rsidP="009D0109">
      <w:pPr>
        <w:spacing w:after="0" w:line="240" w:lineRule="auto"/>
      </w:pPr>
      <w:r>
        <w:separator/>
      </w:r>
    </w:p>
  </w:endnote>
  <w:endnote w:type="continuationSeparator" w:id="0">
    <w:p w:rsidR="00A82CE1" w:rsidRDefault="00A82CE1" w:rsidP="009D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E1" w:rsidRDefault="00A82CE1" w:rsidP="009D0109">
      <w:pPr>
        <w:spacing w:after="0" w:line="240" w:lineRule="auto"/>
      </w:pPr>
      <w:r>
        <w:separator/>
      </w:r>
    </w:p>
  </w:footnote>
  <w:footnote w:type="continuationSeparator" w:id="0">
    <w:p w:rsidR="00A82CE1" w:rsidRDefault="00A82CE1" w:rsidP="009D0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890"/>
    <w:multiLevelType w:val="hybridMultilevel"/>
    <w:tmpl w:val="5056896E"/>
    <w:lvl w:ilvl="0" w:tplc="7BF4AAF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B074C12"/>
    <w:multiLevelType w:val="hybridMultilevel"/>
    <w:tmpl w:val="0F80EC5C"/>
    <w:lvl w:ilvl="0" w:tplc="9B30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45B"/>
    <w:rsid w:val="00046541"/>
    <w:rsid w:val="0021145B"/>
    <w:rsid w:val="00291673"/>
    <w:rsid w:val="002B09E0"/>
    <w:rsid w:val="003B329C"/>
    <w:rsid w:val="003D7D8F"/>
    <w:rsid w:val="00496C3B"/>
    <w:rsid w:val="005115A0"/>
    <w:rsid w:val="005D403E"/>
    <w:rsid w:val="00622883"/>
    <w:rsid w:val="00641381"/>
    <w:rsid w:val="00642882"/>
    <w:rsid w:val="00662AEC"/>
    <w:rsid w:val="00791C62"/>
    <w:rsid w:val="007F1B59"/>
    <w:rsid w:val="008C67F5"/>
    <w:rsid w:val="008F0EFD"/>
    <w:rsid w:val="008F2E4F"/>
    <w:rsid w:val="008F7F8C"/>
    <w:rsid w:val="00920569"/>
    <w:rsid w:val="00936411"/>
    <w:rsid w:val="00965C70"/>
    <w:rsid w:val="009D0109"/>
    <w:rsid w:val="00A81449"/>
    <w:rsid w:val="00A82CE1"/>
    <w:rsid w:val="00BA105D"/>
    <w:rsid w:val="00BA3E63"/>
    <w:rsid w:val="00BF0863"/>
    <w:rsid w:val="00C01DD6"/>
    <w:rsid w:val="00C06BFD"/>
    <w:rsid w:val="00C73CD1"/>
    <w:rsid w:val="00D71EA1"/>
    <w:rsid w:val="00F13694"/>
    <w:rsid w:val="00F16C61"/>
    <w:rsid w:val="00F43862"/>
    <w:rsid w:val="00F86B8A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14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105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0109"/>
  </w:style>
  <w:style w:type="paragraph" w:styleId="Pieddepage">
    <w:name w:val="footer"/>
    <w:basedOn w:val="Normal"/>
    <w:link w:val="PieddepageCar"/>
    <w:uiPriority w:val="99"/>
    <w:unhideWhenUsed/>
    <w:rsid w:val="009D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0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lrh.sso.infra.ftgroup/documents/53981189/60671383/Accord+%C3%A9quilibre+vie+professionnelle+vie+personnelle/25c9938c-267f-400c-90a5-6525c8c97c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JACQUIER Michel SCO NDF</dc:creator>
  <cp:lastModifiedBy>sedo6201</cp:lastModifiedBy>
  <cp:revision>2</cp:revision>
  <dcterms:created xsi:type="dcterms:W3CDTF">2020-02-27T09:59:00Z</dcterms:created>
  <dcterms:modified xsi:type="dcterms:W3CDTF">2020-02-27T09:59:00Z</dcterms:modified>
</cp:coreProperties>
</file>